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9E" w:rsidRDefault="00746F9E">
      <w:pPr>
        <w:pStyle w:val="BodyText"/>
        <w:spacing w:before="0"/>
        <w:rPr>
          <w:sz w:val="23"/>
        </w:rPr>
      </w:pPr>
    </w:p>
    <w:p w:rsidR="00746F9E" w:rsidRDefault="00746F9E">
      <w:pPr>
        <w:pStyle w:val="BodyText"/>
        <w:spacing w:before="211"/>
        <w:rPr>
          <w:sz w:val="23"/>
        </w:rPr>
      </w:pPr>
    </w:p>
    <w:p w:rsidR="00746F9E" w:rsidRPr="00A32889" w:rsidRDefault="008372B3">
      <w:pPr>
        <w:ind w:left="2791" w:right="3816"/>
        <w:rPr>
          <w:rFonts w:ascii="Arial"/>
          <w:sz w:val="23"/>
          <w:lang w:val="fr-FR"/>
        </w:rPr>
      </w:pPr>
      <w:r>
        <w:rPr>
          <w:noProof/>
          <w:lang w:val="en-GB" w:eastAsia="en-GB"/>
        </w:rPr>
        <w:drawing>
          <wp:anchor distT="0" distB="0" distL="0" distR="0" simplePos="0" relativeHeight="15728640" behindDoc="0" locked="0" layoutInCell="1" allowOverlap="1">
            <wp:simplePos x="0" y="0"/>
            <wp:positionH relativeFrom="page">
              <wp:posOffset>909065</wp:posOffset>
            </wp:positionH>
            <wp:positionV relativeFrom="paragraph">
              <wp:posOffset>-464761</wp:posOffset>
            </wp:positionV>
            <wp:extent cx="1587803" cy="776560"/>
            <wp:effectExtent l="0" t="0" r="0" b="0"/>
            <wp:wrapNone/>
            <wp:docPr id="3" name="Image 3" descr="6E1350C3-B260-4083-B03B-4CE6DF61D59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6E1350C3-B260-4083-B03B-4CE6DF61D59B"/>
                    <pic:cNvPicPr/>
                  </pic:nvPicPr>
                  <pic:blipFill>
                    <a:blip r:embed="rId7" cstate="print"/>
                    <a:stretch>
                      <a:fillRect/>
                    </a:stretch>
                  </pic:blipFill>
                  <pic:spPr>
                    <a:xfrm>
                      <a:off x="0" y="0"/>
                      <a:ext cx="1587803" cy="776560"/>
                    </a:xfrm>
                    <a:prstGeom prst="rect">
                      <a:avLst/>
                    </a:prstGeom>
                  </pic:spPr>
                </pic:pic>
              </a:graphicData>
            </a:graphic>
          </wp:anchor>
        </w:drawing>
      </w:r>
      <w:r w:rsidRPr="00A32889">
        <w:rPr>
          <w:rFonts w:ascii="Arial"/>
          <w:spacing w:val="-2"/>
          <w:sz w:val="23"/>
          <w:lang w:val="fr-FR"/>
        </w:rPr>
        <w:t>COMMISSION EUROP</w:t>
      </w:r>
      <w:r w:rsidRPr="00A32889">
        <w:rPr>
          <w:rFonts w:ascii="Arial"/>
          <w:spacing w:val="-2"/>
          <w:sz w:val="23"/>
          <w:lang w:val="fr-FR"/>
        </w:rPr>
        <w:t>É</w:t>
      </w:r>
      <w:r w:rsidRPr="00A32889">
        <w:rPr>
          <w:rFonts w:ascii="Arial"/>
          <w:spacing w:val="-2"/>
          <w:sz w:val="23"/>
          <w:lang w:val="fr-FR"/>
        </w:rPr>
        <w:t>ENNE</w:t>
      </w:r>
    </w:p>
    <w:p w:rsidR="00746F9E" w:rsidRPr="00A32889" w:rsidRDefault="00746F9E">
      <w:pPr>
        <w:pStyle w:val="BodyText"/>
        <w:spacing w:before="0"/>
        <w:rPr>
          <w:rFonts w:ascii="Arial"/>
          <w:lang w:val="fr-FR"/>
        </w:rPr>
      </w:pPr>
    </w:p>
    <w:p w:rsidR="00746F9E" w:rsidRPr="00A32889" w:rsidRDefault="00746F9E">
      <w:pPr>
        <w:pStyle w:val="BodyText"/>
        <w:spacing w:before="0"/>
        <w:rPr>
          <w:rFonts w:ascii="Arial"/>
          <w:lang w:val="fr-FR"/>
        </w:rPr>
      </w:pPr>
    </w:p>
    <w:p w:rsidR="00746F9E" w:rsidRPr="00A32889" w:rsidRDefault="00746F9E">
      <w:pPr>
        <w:pStyle w:val="BodyText"/>
        <w:spacing w:before="203"/>
        <w:rPr>
          <w:rFonts w:ascii="Arial"/>
          <w:lang w:val="fr-FR"/>
        </w:rPr>
      </w:pPr>
    </w:p>
    <w:p w:rsidR="00746F9E" w:rsidRPr="00A32889" w:rsidRDefault="008372B3">
      <w:pPr>
        <w:pStyle w:val="BodyText"/>
        <w:spacing w:before="1"/>
        <w:ind w:left="5234"/>
        <w:rPr>
          <w:lang w:val="fr-FR"/>
        </w:rPr>
      </w:pPr>
      <w:r w:rsidRPr="00A32889">
        <w:rPr>
          <w:lang w:val="fr-FR"/>
        </w:rPr>
        <w:t xml:space="preserve">Bruxelles, </w:t>
      </w:r>
      <w:r w:rsidRPr="00A32889">
        <w:rPr>
          <w:spacing w:val="-2"/>
          <w:lang w:val="fr-FR"/>
        </w:rPr>
        <w:t>17.11.2023</w:t>
      </w:r>
    </w:p>
    <w:p w:rsidR="00746F9E" w:rsidRPr="00A32889" w:rsidRDefault="008372B3">
      <w:pPr>
        <w:pStyle w:val="BodyText"/>
        <w:spacing w:before="0"/>
        <w:ind w:left="5234"/>
        <w:rPr>
          <w:lang w:val="fr-FR"/>
        </w:rPr>
      </w:pPr>
      <w:r w:rsidRPr="00A32889">
        <w:rPr>
          <w:lang w:val="fr-FR"/>
        </w:rPr>
        <w:t xml:space="preserve">C(2023) 7673 </w:t>
      </w:r>
      <w:r w:rsidRPr="00A32889">
        <w:rPr>
          <w:spacing w:val="-4"/>
          <w:lang w:val="fr-FR"/>
        </w:rPr>
        <w:t>final</w:t>
      </w:r>
    </w:p>
    <w:p w:rsidR="00746F9E" w:rsidRPr="00A32889" w:rsidRDefault="00746F9E">
      <w:pPr>
        <w:pStyle w:val="BodyText"/>
        <w:spacing w:before="0"/>
        <w:rPr>
          <w:lang w:val="fr-FR"/>
        </w:rPr>
      </w:pPr>
    </w:p>
    <w:p w:rsidR="00746F9E" w:rsidRPr="00A32889" w:rsidRDefault="00746F9E">
      <w:pPr>
        <w:pStyle w:val="BodyText"/>
        <w:spacing w:before="0"/>
        <w:rPr>
          <w:lang w:val="fr-FR"/>
        </w:rPr>
      </w:pPr>
    </w:p>
    <w:p w:rsidR="00746F9E" w:rsidRPr="00A32889" w:rsidRDefault="00746F9E">
      <w:pPr>
        <w:pStyle w:val="BodyText"/>
        <w:spacing w:before="0"/>
        <w:rPr>
          <w:lang w:val="fr-FR"/>
        </w:rPr>
      </w:pPr>
    </w:p>
    <w:p w:rsidR="00746F9E" w:rsidRPr="00A32889" w:rsidRDefault="00746F9E">
      <w:pPr>
        <w:pStyle w:val="BodyText"/>
        <w:spacing w:before="0"/>
        <w:rPr>
          <w:lang w:val="fr-FR"/>
        </w:rPr>
      </w:pPr>
    </w:p>
    <w:p w:rsidR="00746F9E" w:rsidRPr="00A32889" w:rsidRDefault="00746F9E">
      <w:pPr>
        <w:pStyle w:val="BodyText"/>
        <w:spacing w:before="68"/>
        <w:rPr>
          <w:lang w:val="fr-FR"/>
        </w:rPr>
      </w:pPr>
    </w:p>
    <w:p w:rsidR="00746F9E" w:rsidRPr="00A32889" w:rsidRDefault="008372B3">
      <w:pPr>
        <w:spacing w:line="552" w:lineRule="auto"/>
        <w:ind w:left="3174" w:right="3185"/>
        <w:jc w:val="center"/>
        <w:rPr>
          <w:b/>
          <w:sz w:val="24"/>
          <w:lang w:val="fr-FR"/>
        </w:rPr>
      </w:pPr>
      <w:r w:rsidRPr="00A32889">
        <w:rPr>
          <w:b/>
          <w:sz w:val="24"/>
          <w:lang w:val="fr-FR"/>
        </w:rPr>
        <w:t>DÉCISION DE LA COMMISSION du 17.11.2023</w:t>
      </w:r>
    </w:p>
    <w:p w:rsidR="00746F9E" w:rsidRPr="00A32889" w:rsidRDefault="008372B3">
      <w:pPr>
        <w:ind w:right="15"/>
        <w:jc w:val="center"/>
        <w:rPr>
          <w:b/>
          <w:sz w:val="24"/>
          <w:lang w:val="fr-FR"/>
        </w:rPr>
      </w:pPr>
      <w:r w:rsidRPr="00A32889">
        <w:rPr>
          <w:b/>
          <w:sz w:val="24"/>
          <w:lang w:val="fr-FR"/>
        </w:rPr>
        <w:t>modifiant la décision C(2007)3195 portant dispositions générales d'exécution relatives au remboursement des frais médicaux</w:t>
      </w:r>
    </w:p>
    <w:p w:rsidR="00746F9E" w:rsidRPr="00A32889" w:rsidRDefault="00746F9E">
      <w:pPr>
        <w:jc w:val="center"/>
        <w:rPr>
          <w:sz w:val="24"/>
          <w:lang w:val="fr-FR"/>
        </w:rPr>
        <w:sectPr w:rsidR="00746F9E" w:rsidRPr="00A32889">
          <w:footerReference w:type="default" r:id="rId8"/>
          <w:type w:val="continuous"/>
          <w:pgSz w:w="11910" w:h="16840"/>
          <w:pgMar w:top="1460" w:right="1260" w:bottom="1240" w:left="1300" w:header="0" w:footer="1041" w:gutter="0"/>
          <w:pgNumType w:start="1"/>
          <w:cols w:space="720"/>
        </w:sectPr>
      </w:pPr>
    </w:p>
    <w:p w:rsidR="00746F9E" w:rsidRPr="00A32889" w:rsidRDefault="008372B3">
      <w:pPr>
        <w:spacing w:before="74" w:line="552" w:lineRule="auto"/>
        <w:ind w:left="3160" w:right="3199"/>
        <w:jc w:val="center"/>
        <w:rPr>
          <w:b/>
          <w:sz w:val="24"/>
          <w:lang w:val="fr-FR"/>
        </w:rPr>
      </w:pPr>
      <w:r w:rsidRPr="00A32889">
        <w:rPr>
          <w:b/>
          <w:sz w:val="24"/>
          <w:lang w:val="fr-FR"/>
        </w:rPr>
        <w:t>DÉCISION DE LA COMMISSION du 17.11.2023</w:t>
      </w:r>
    </w:p>
    <w:p w:rsidR="00746F9E" w:rsidRPr="00A32889" w:rsidRDefault="008372B3">
      <w:pPr>
        <w:spacing w:before="2"/>
        <w:ind w:right="46"/>
        <w:jc w:val="center"/>
        <w:rPr>
          <w:b/>
          <w:sz w:val="24"/>
          <w:lang w:val="fr-FR"/>
        </w:rPr>
      </w:pPr>
      <w:r w:rsidRPr="00A32889">
        <w:rPr>
          <w:b/>
          <w:sz w:val="24"/>
          <w:lang w:val="fr-FR"/>
        </w:rPr>
        <w:t xml:space="preserve">modifiant la décision C(2007)3195 portant dispositions générales d'exécution relatives au </w:t>
      </w:r>
      <w:r w:rsidRPr="00A32889">
        <w:rPr>
          <w:b/>
          <w:sz w:val="24"/>
          <w:lang w:val="fr-FR"/>
        </w:rPr>
        <w:t>remboursement des frais médicaux</w:t>
      </w:r>
    </w:p>
    <w:p w:rsidR="00746F9E" w:rsidRPr="00A32889" w:rsidRDefault="00746F9E">
      <w:pPr>
        <w:pStyle w:val="BodyText"/>
        <w:spacing w:before="0"/>
        <w:rPr>
          <w:b/>
          <w:lang w:val="fr-FR"/>
        </w:rPr>
      </w:pPr>
    </w:p>
    <w:p w:rsidR="00746F9E" w:rsidRPr="00A32889" w:rsidRDefault="00746F9E">
      <w:pPr>
        <w:pStyle w:val="BodyText"/>
        <w:spacing w:before="48"/>
        <w:rPr>
          <w:b/>
          <w:lang w:val="fr-FR"/>
        </w:rPr>
      </w:pPr>
    </w:p>
    <w:p w:rsidR="00746F9E" w:rsidRPr="00A32889" w:rsidRDefault="008372B3">
      <w:pPr>
        <w:pStyle w:val="BodyText"/>
        <w:spacing w:before="0"/>
        <w:ind w:left="116"/>
        <w:jc w:val="both"/>
        <w:rPr>
          <w:lang w:val="fr-FR"/>
        </w:rPr>
      </w:pPr>
      <w:r w:rsidRPr="00A32889">
        <w:rPr>
          <w:lang w:val="fr-FR"/>
        </w:rPr>
        <w:t xml:space="preserve">LA </w:t>
      </w:r>
      <w:r w:rsidRPr="00A32889">
        <w:rPr>
          <w:spacing w:val="-2"/>
          <w:lang w:val="fr-FR"/>
        </w:rPr>
        <w:t xml:space="preserve">COMMISSION </w:t>
      </w:r>
      <w:r w:rsidRPr="00A32889">
        <w:rPr>
          <w:lang w:val="fr-FR"/>
        </w:rPr>
        <w:t>EUROPÉENNE</w:t>
      </w:r>
      <w:r w:rsidRPr="00A32889">
        <w:rPr>
          <w:spacing w:val="-2"/>
          <w:lang w:val="fr-FR"/>
        </w:rPr>
        <w:t>,</w:t>
      </w:r>
    </w:p>
    <w:p w:rsidR="00746F9E" w:rsidRPr="00A32889" w:rsidRDefault="008372B3">
      <w:pPr>
        <w:pStyle w:val="BodyText"/>
        <w:ind w:left="116"/>
        <w:jc w:val="both"/>
        <w:rPr>
          <w:lang w:val="fr-FR"/>
        </w:rPr>
      </w:pPr>
      <w:r w:rsidRPr="00A32889">
        <w:rPr>
          <w:lang w:val="fr-FR"/>
        </w:rPr>
        <w:t>vu le traité sur le fonctionnement de l'</w:t>
      </w:r>
      <w:r w:rsidRPr="00A32889">
        <w:rPr>
          <w:spacing w:val="-2"/>
          <w:lang w:val="fr-FR"/>
        </w:rPr>
        <w:t xml:space="preserve">Union </w:t>
      </w:r>
      <w:r w:rsidRPr="00A32889">
        <w:rPr>
          <w:lang w:val="fr-FR"/>
        </w:rPr>
        <w:t>européenne,</w:t>
      </w:r>
    </w:p>
    <w:p w:rsidR="00746F9E" w:rsidRPr="00A32889" w:rsidRDefault="008372B3">
      <w:pPr>
        <w:pStyle w:val="BodyText"/>
        <w:spacing w:before="121"/>
        <w:ind w:left="116" w:right="159"/>
        <w:jc w:val="both"/>
        <w:rPr>
          <w:lang w:val="fr-FR"/>
        </w:rPr>
      </w:pPr>
      <w:r w:rsidRPr="00A32889">
        <w:rPr>
          <w:lang w:val="fr-FR"/>
        </w:rPr>
        <w:t>Vu le statut des fonctionnaires de l'Union européenne et le régime applicable aux autres agents fixés par le règlement (CEE, Euratom, CEC</w:t>
      </w:r>
      <w:r w:rsidRPr="00A32889">
        <w:rPr>
          <w:lang w:val="fr-FR"/>
        </w:rPr>
        <w:t>A) n° 259/68 du Conseil</w:t>
      </w:r>
      <w:r w:rsidRPr="00A32889">
        <w:rPr>
          <w:vertAlign w:val="superscript"/>
          <w:lang w:val="fr-FR"/>
        </w:rPr>
        <w:t>1</w:t>
      </w:r>
      <w:r w:rsidRPr="00A32889">
        <w:rPr>
          <w:lang w:val="fr-FR"/>
        </w:rPr>
        <w:t xml:space="preserve"> , et notamment son article 72,</w:t>
      </w:r>
    </w:p>
    <w:p w:rsidR="00746F9E" w:rsidRPr="00A32889" w:rsidRDefault="008372B3">
      <w:pPr>
        <w:pStyle w:val="BodyText"/>
        <w:ind w:left="116" w:right="161"/>
        <w:jc w:val="both"/>
        <w:rPr>
          <w:lang w:val="fr-FR"/>
        </w:rPr>
      </w:pPr>
      <w:r w:rsidRPr="00A32889">
        <w:rPr>
          <w:lang w:val="fr-FR"/>
        </w:rPr>
        <w:t xml:space="preserve">vu l'avis du comité de gestion du </w:t>
      </w:r>
      <w:r w:rsidRPr="00A32889">
        <w:rPr>
          <w:spacing w:val="-2"/>
          <w:lang w:val="fr-FR"/>
        </w:rPr>
        <w:t xml:space="preserve">régime </w:t>
      </w:r>
      <w:r w:rsidRPr="00A32889">
        <w:rPr>
          <w:lang w:val="fr-FR"/>
        </w:rPr>
        <w:t xml:space="preserve">commun </w:t>
      </w:r>
      <w:r w:rsidRPr="00A32889">
        <w:rPr>
          <w:spacing w:val="-2"/>
          <w:lang w:val="fr-FR"/>
        </w:rPr>
        <w:t>d'</w:t>
      </w:r>
      <w:r w:rsidRPr="00A32889">
        <w:rPr>
          <w:lang w:val="fr-FR"/>
        </w:rPr>
        <w:t>assurance maladie,</w:t>
      </w:r>
    </w:p>
    <w:p w:rsidR="00746F9E" w:rsidRPr="00A32889" w:rsidRDefault="008372B3">
      <w:pPr>
        <w:pStyle w:val="BodyText"/>
        <w:ind w:left="116"/>
        <w:jc w:val="both"/>
        <w:rPr>
          <w:lang w:val="fr-FR"/>
        </w:rPr>
      </w:pPr>
      <w:r w:rsidRPr="00A32889">
        <w:rPr>
          <w:spacing w:val="-3"/>
          <w:lang w:val="fr-FR"/>
        </w:rPr>
        <w:t xml:space="preserve">Vu </w:t>
      </w:r>
      <w:r w:rsidRPr="00A32889">
        <w:rPr>
          <w:lang w:val="fr-FR"/>
        </w:rPr>
        <w:t>l</w:t>
      </w:r>
      <w:r w:rsidRPr="00A32889">
        <w:rPr>
          <w:spacing w:val="-1"/>
          <w:lang w:val="fr-FR"/>
        </w:rPr>
        <w:t>'</w:t>
      </w:r>
      <w:r w:rsidRPr="00A32889">
        <w:rPr>
          <w:lang w:val="fr-FR"/>
        </w:rPr>
        <w:t xml:space="preserve">avis du </w:t>
      </w:r>
      <w:r w:rsidRPr="00A32889">
        <w:rPr>
          <w:spacing w:val="-2"/>
          <w:lang w:val="fr-FR"/>
        </w:rPr>
        <w:t xml:space="preserve">Comité du </w:t>
      </w:r>
      <w:r w:rsidRPr="00A32889">
        <w:rPr>
          <w:lang w:val="fr-FR"/>
        </w:rPr>
        <w:t>personnel,</w:t>
      </w:r>
    </w:p>
    <w:p w:rsidR="00746F9E" w:rsidRPr="00A32889" w:rsidRDefault="008372B3">
      <w:pPr>
        <w:pStyle w:val="BodyText"/>
        <w:spacing w:line="343" w:lineRule="auto"/>
        <w:ind w:left="116" w:right="2920"/>
        <w:jc w:val="both"/>
        <w:rPr>
          <w:lang w:val="fr-FR"/>
        </w:rPr>
      </w:pPr>
      <w:r w:rsidRPr="00A32889">
        <w:rPr>
          <w:lang w:val="fr-FR"/>
        </w:rPr>
        <w:t xml:space="preserve">vu l'avis du comité du statut, </w:t>
      </w:r>
      <w:r w:rsidRPr="00A32889">
        <w:rPr>
          <w:spacing w:val="-2"/>
          <w:lang w:val="fr-FR"/>
        </w:rPr>
        <w:t>considérant ce qui suit</w:t>
      </w:r>
    </w:p>
    <w:p w:rsidR="00746F9E" w:rsidRPr="00A32889" w:rsidRDefault="008372B3">
      <w:pPr>
        <w:pStyle w:val="ListParagraph"/>
        <w:numPr>
          <w:ilvl w:val="0"/>
          <w:numId w:val="3"/>
        </w:numPr>
        <w:tabs>
          <w:tab w:val="left" w:pos="824"/>
        </w:tabs>
        <w:spacing w:before="3"/>
        <w:ind w:right="157"/>
        <w:jc w:val="both"/>
        <w:rPr>
          <w:sz w:val="24"/>
          <w:lang w:val="fr-FR"/>
        </w:rPr>
      </w:pPr>
      <w:r w:rsidRPr="00A32889">
        <w:rPr>
          <w:sz w:val="24"/>
          <w:lang w:val="fr-FR"/>
        </w:rPr>
        <w:t>Un régime commun d'assurance maladie (RCAM) a été établi par la réglementation relative à la couverture des risques de maladie des fonctionnaires de l'Union européenne</w:t>
      </w:r>
      <w:r w:rsidRPr="00A32889">
        <w:rPr>
          <w:sz w:val="24"/>
          <w:vertAlign w:val="superscript"/>
          <w:lang w:val="fr-FR"/>
        </w:rPr>
        <w:t>2</w:t>
      </w:r>
      <w:r w:rsidRPr="00A32889">
        <w:rPr>
          <w:sz w:val="24"/>
          <w:lang w:val="fr-FR"/>
        </w:rPr>
        <w:t xml:space="preserve"> élaborée d'un commun accord par les autorités investies du pouvoir de nomination des in</w:t>
      </w:r>
      <w:r w:rsidRPr="00A32889">
        <w:rPr>
          <w:sz w:val="24"/>
          <w:lang w:val="fr-FR"/>
        </w:rPr>
        <w:t>stitutions de l'Union européenne, prévue à l'article 72 du statut, et est entrée en vigueur le 1er décembre 2005 ;</w:t>
      </w:r>
    </w:p>
    <w:p w:rsidR="00746F9E" w:rsidRPr="00A32889" w:rsidRDefault="008372B3">
      <w:pPr>
        <w:pStyle w:val="ListParagraph"/>
        <w:numPr>
          <w:ilvl w:val="0"/>
          <w:numId w:val="3"/>
        </w:numPr>
        <w:tabs>
          <w:tab w:val="left" w:pos="824"/>
        </w:tabs>
        <w:ind w:right="151"/>
        <w:jc w:val="both"/>
        <w:rPr>
          <w:sz w:val="24"/>
          <w:lang w:val="fr-FR"/>
        </w:rPr>
      </w:pPr>
      <w:r w:rsidRPr="00A32889">
        <w:rPr>
          <w:sz w:val="24"/>
          <w:lang w:val="fr-FR"/>
        </w:rPr>
        <w:t>Les dispositions générales d'application du RCAM prévoient le remboursement des traitements et services liés à la stérilité au point 3 du cha</w:t>
      </w:r>
      <w:r w:rsidRPr="00A32889">
        <w:rPr>
          <w:sz w:val="24"/>
          <w:lang w:val="fr-FR"/>
        </w:rPr>
        <w:t>pitre 7 du titre II. Ces dispositions sont fondées sur l'intérêt médical porté aux traitements de la stérilité au moment de leur rédaction et prévoient le remboursement dans le cadre d'une pathologie, c'est-à-dire en rapport avec le traitement de la subfer</w:t>
      </w:r>
      <w:r w:rsidRPr="00A32889">
        <w:rPr>
          <w:sz w:val="24"/>
          <w:lang w:val="fr-FR"/>
        </w:rPr>
        <w:t>tilité et de l'infertilité ;</w:t>
      </w:r>
    </w:p>
    <w:p w:rsidR="00746F9E" w:rsidRPr="00A32889" w:rsidRDefault="008372B3">
      <w:pPr>
        <w:pStyle w:val="ListParagraph"/>
        <w:numPr>
          <w:ilvl w:val="0"/>
          <w:numId w:val="3"/>
        </w:numPr>
        <w:tabs>
          <w:tab w:val="left" w:pos="824"/>
        </w:tabs>
        <w:ind w:right="153"/>
        <w:jc w:val="both"/>
        <w:rPr>
          <w:sz w:val="24"/>
          <w:lang w:val="fr-FR"/>
        </w:rPr>
      </w:pPr>
      <w:r w:rsidRPr="00A32889">
        <w:rPr>
          <w:sz w:val="24"/>
          <w:lang w:val="fr-FR"/>
        </w:rPr>
        <w:t>La perception sociétale et la pratique médicale ont beaucoup évolué, avec l'acceptation du fait que des personnes devraient pouvoir bénéficier d'une assistance médicale à la procréation, même en dehors du contexte d'une patholo</w:t>
      </w:r>
      <w:r w:rsidRPr="00A32889">
        <w:rPr>
          <w:sz w:val="24"/>
          <w:lang w:val="fr-FR"/>
        </w:rPr>
        <w:t>gie, y compris des femmes célibataires ou des couples de même sexe. Il est important d'adapter les dispositions générales d'exécution du RCAM à ces évolutions sociétales qui favorisent un large accès à la parentalité ;</w:t>
      </w:r>
    </w:p>
    <w:p w:rsidR="00746F9E" w:rsidRPr="00A32889" w:rsidRDefault="008372B3">
      <w:pPr>
        <w:pStyle w:val="ListParagraph"/>
        <w:numPr>
          <w:ilvl w:val="0"/>
          <w:numId w:val="3"/>
        </w:numPr>
        <w:tabs>
          <w:tab w:val="left" w:pos="824"/>
        </w:tabs>
        <w:spacing w:before="121"/>
        <w:ind w:right="161"/>
        <w:jc w:val="both"/>
        <w:rPr>
          <w:sz w:val="24"/>
          <w:lang w:val="fr-FR"/>
        </w:rPr>
      </w:pPr>
      <w:r w:rsidRPr="00A32889">
        <w:rPr>
          <w:sz w:val="24"/>
          <w:lang w:val="fr-FR"/>
        </w:rPr>
        <w:t xml:space="preserve">La procréation médicalement assistée </w:t>
      </w:r>
      <w:r w:rsidRPr="00A32889">
        <w:rPr>
          <w:sz w:val="24"/>
          <w:lang w:val="fr-FR"/>
        </w:rPr>
        <w:t>est désormais remboursée à des degrés divers dans les États membres, notamment en Belgique où résident près de la moitié des affiliés du JSIS ;</w:t>
      </w:r>
    </w:p>
    <w:p w:rsidR="00746F9E" w:rsidRPr="00A32889" w:rsidRDefault="008372B3">
      <w:pPr>
        <w:pStyle w:val="ListParagraph"/>
        <w:numPr>
          <w:ilvl w:val="0"/>
          <w:numId w:val="3"/>
        </w:numPr>
        <w:tabs>
          <w:tab w:val="left" w:pos="824"/>
        </w:tabs>
        <w:ind w:right="162"/>
        <w:jc w:val="both"/>
        <w:rPr>
          <w:sz w:val="24"/>
          <w:lang w:val="fr-FR"/>
        </w:rPr>
      </w:pPr>
      <w:r w:rsidRPr="00A32889">
        <w:rPr>
          <w:sz w:val="24"/>
          <w:lang w:val="fr-FR"/>
        </w:rPr>
        <w:t>Il convient de simplifier les règles actuelles en supprimant la condition de pathologie pour l'accès à la procré</w:t>
      </w:r>
      <w:r w:rsidRPr="00A32889">
        <w:rPr>
          <w:sz w:val="24"/>
          <w:lang w:val="fr-FR"/>
        </w:rPr>
        <w:t xml:space="preserve">ation médicalement assistée, dans les cas où elle est justifiée, </w:t>
      </w:r>
      <w:r w:rsidRPr="00A32889">
        <w:rPr>
          <w:spacing w:val="40"/>
          <w:sz w:val="24"/>
          <w:lang w:val="fr-FR"/>
        </w:rPr>
        <w:t xml:space="preserve">afin </w:t>
      </w:r>
      <w:r w:rsidRPr="00A32889">
        <w:rPr>
          <w:sz w:val="24"/>
          <w:lang w:val="fr-FR"/>
        </w:rPr>
        <w:t>de limiter les difficultés administratives et les plaintes relatives au remboursement. Il convient toutefois d'exclure les coûts de la maternité de substitution ;</w:t>
      </w:r>
    </w:p>
    <w:p w:rsidR="00746F9E" w:rsidRPr="00A32889" w:rsidRDefault="008372B3">
      <w:pPr>
        <w:pStyle w:val="ListParagraph"/>
        <w:numPr>
          <w:ilvl w:val="0"/>
          <w:numId w:val="3"/>
        </w:numPr>
        <w:tabs>
          <w:tab w:val="left" w:pos="824"/>
        </w:tabs>
        <w:ind w:right="158"/>
        <w:jc w:val="both"/>
        <w:rPr>
          <w:sz w:val="24"/>
          <w:lang w:val="fr-FR"/>
        </w:rPr>
      </w:pPr>
      <w:r w:rsidRPr="00A32889">
        <w:rPr>
          <w:sz w:val="24"/>
          <w:lang w:val="fr-FR"/>
        </w:rPr>
        <w:t>Le nombre limité de bén</w:t>
      </w:r>
      <w:r w:rsidRPr="00A32889">
        <w:rPr>
          <w:sz w:val="24"/>
          <w:lang w:val="fr-FR"/>
        </w:rPr>
        <w:t>éficiaires ne mettrait pas en péril l'équilibre financier du budget du JSIS ;</w:t>
      </w:r>
    </w:p>
    <w:p w:rsidR="00746F9E" w:rsidRPr="00A32889" w:rsidRDefault="008372B3">
      <w:pPr>
        <w:pStyle w:val="BodyText"/>
        <w:spacing w:before="90"/>
        <w:rPr>
          <w:sz w:val="20"/>
          <w:lang w:val="fr-FR"/>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899464</wp:posOffset>
                </wp:positionH>
                <wp:positionV relativeFrom="paragraph">
                  <wp:posOffset>218827</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7855A" id="Graphic 7" o:spid="_x0000_s1026" style="position:absolute;margin-left:70.8pt;margin-top:17.2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oNMAIAAOEEAAAOAAAAZHJzL2Uyb0RvYy54bWysVMFu2zAMvQ/YPwi6L07StemMOMXQosWA&#10;oivQDDsrshwbk0VNVGLn70fJVupupw3zQabEJ5qPj/T6pm81OyqHDZiCL2ZzzpSRUDZmX/Bv2/sP&#10;15yhF6YUGowq+Ekhv9m8f7fubK6WUIMulWMUxGDe2YLX3ts8y1DWqhU4A6sMOStwrfC0dfusdKKj&#10;6K3OlvP5VdaBK60DqRDp9G5w8k2MX1VK+q9VhcozXXDKzcfVxXUX1myzFvneCVs3ckxD/EMWrWgM&#10;ffQc6k54wQ6u+SNU20gHCJWfSWgzqKpGqsiB2Czmv7F5qYVVkQsVB+25TPj/wsqn47NjTVnwFWdG&#10;tCTRw1iNVShOZzEnzIt9doEe2keQP5Ac2RtP2OCI6SvXBiyRY32s9OlcadV7Julwcb389PHikjNJ&#10;vtXVMgqRiTzdlQf0DwpiHHF8RD/oVCZL1MmSvUmmI7WDzjrq7DkjnR1npPNu0NkKH+6F5ILJukki&#10;9ZhHcLZwVFuIMB8ohGznlxecJSKU6StGmymWmmyCSr70tjHegJnQTu70HmDTz/4VOFUzhZMaUAXN&#10;Bt5nI9aCDqfVRtBNed9oHeij2+9utWNHEcYnPqGSdGUCi50wiB/aYAfliVqqoy4qOP48CKc4018M&#10;NW0YwGS4ZOyS4by+hTimsfIO/bb/LpxllsyCe+qdJ0gjIfLUFoHUGRtuGvh88FA1oWdibkNG44bm&#10;KBIYZz4M6nQfUa9/ps0vAAAA//8DAFBLAwQUAAYACAAAACEAvKCsAOAAAAAJAQAADwAAAGRycy9k&#10;b3ducmV2LnhtbEyPwU7DMAyG70i8Q2QkLoilW7uNlabTVMQBEAIG4pw1pqlokpJkW3h7zAmOv/3p&#10;9+dqnczADuhD76yA6SQDhrZ1qredgLfX28srYCFKq+TgLAr4xgDr+vSkkqVyR/uCh23sGJXYUEoB&#10;Osax5Dy0Go0MEzeipd2H80ZGir7jyssjlZuBz7JswY3sLV3QcsRGY/u53RsBTUqbm6c73V7c4/Pj&#10;e77yTf71IMT5WdpcA4uY4h8Mv/qkDjU57dzeqsAGysV0QaiAvJgDI6CYrZbAdjSYL4HXFf//Qf0D&#10;AAD//wMAUEsBAi0AFAAGAAgAAAAhALaDOJL+AAAA4QEAABMAAAAAAAAAAAAAAAAAAAAAAFtDb250&#10;ZW50X1R5cGVzXS54bWxQSwECLQAUAAYACAAAACEAOP0h/9YAAACUAQAACwAAAAAAAAAAAAAAAAAv&#10;AQAAX3JlbHMvLnJlbHNQSwECLQAUAAYACAAAACEA2A5KDTACAADhBAAADgAAAAAAAAAAAAAAAAAu&#10;AgAAZHJzL2Uyb0RvYy54bWxQSwECLQAUAAYACAAAACEAvKCsAOAAAAAJAQAADwAAAAAAAAAAAAAA&#10;AACKBAAAZHJzL2Rvd25yZXYueG1sUEsFBgAAAAAEAAQA8wAAAJcFAAAAAA==&#10;" path="m1829053,l,,,7620r1829053,l1829053,xe" fillcolor="black" stroked="f">
                <v:path arrowok="t"/>
                <w10:wrap type="topAndBottom" anchorx="page"/>
              </v:shape>
            </w:pict>
          </mc:Fallback>
        </mc:AlternateContent>
      </w:r>
    </w:p>
    <w:p w:rsidR="00746F9E" w:rsidRPr="00A32889" w:rsidRDefault="008372B3">
      <w:pPr>
        <w:tabs>
          <w:tab w:val="left" w:pos="836"/>
        </w:tabs>
        <w:spacing w:before="122"/>
        <w:ind w:left="116"/>
        <w:rPr>
          <w:sz w:val="18"/>
          <w:lang w:val="fr-FR"/>
        </w:rPr>
      </w:pPr>
      <w:r w:rsidRPr="00A32889">
        <w:rPr>
          <w:spacing w:val="-10"/>
          <w:sz w:val="18"/>
          <w:vertAlign w:val="superscript"/>
          <w:lang w:val="fr-FR"/>
        </w:rPr>
        <w:t>1</w:t>
      </w:r>
      <w:r w:rsidRPr="00A32889">
        <w:rPr>
          <w:sz w:val="18"/>
          <w:lang w:val="fr-FR"/>
        </w:rPr>
        <w:tab/>
        <w:t xml:space="preserve">JO L 56 du 4.3.1968, p. </w:t>
      </w:r>
      <w:r w:rsidRPr="00A32889">
        <w:rPr>
          <w:spacing w:val="-5"/>
          <w:sz w:val="18"/>
          <w:lang w:val="fr-FR"/>
        </w:rPr>
        <w:t>1.</w:t>
      </w:r>
    </w:p>
    <w:p w:rsidR="00746F9E" w:rsidRPr="00A32889" w:rsidRDefault="008372B3">
      <w:pPr>
        <w:tabs>
          <w:tab w:val="left" w:pos="836"/>
        </w:tabs>
        <w:spacing w:before="5"/>
        <w:ind w:left="836" w:right="165" w:hanging="720"/>
        <w:rPr>
          <w:sz w:val="20"/>
          <w:lang w:val="fr-FR"/>
        </w:rPr>
      </w:pPr>
      <w:r w:rsidRPr="00A32889">
        <w:rPr>
          <w:spacing w:val="-10"/>
          <w:sz w:val="20"/>
          <w:vertAlign w:val="superscript"/>
          <w:lang w:val="fr-FR"/>
        </w:rPr>
        <w:t>2</w:t>
      </w:r>
      <w:r w:rsidRPr="00A32889">
        <w:rPr>
          <w:sz w:val="20"/>
          <w:lang w:val="fr-FR"/>
        </w:rPr>
        <w:tab/>
        <w:t xml:space="preserve">Règlement adopté par toutes les institutions d'un commun accord, dont le président de la Cour de justice des Communautés européennes a pris </w:t>
      </w:r>
      <w:r w:rsidRPr="00A32889">
        <w:rPr>
          <w:sz w:val="20"/>
          <w:lang w:val="fr-FR"/>
        </w:rPr>
        <w:t>acte le 24 novembre 2005.</w:t>
      </w:r>
    </w:p>
    <w:p w:rsidR="00746F9E" w:rsidRPr="00A32889" w:rsidRDefault="00746F9E">
      <w:pPr>
        <w:rPr>
          <w:sz w:val="20"/>
          <w:lang w:val="fr-FR"/>
        </w:rPr>
        <w:sectPr w:rsidR="00746F9E" w:rsidRPr="00A32889">
          <w:footerReference w:type="default" r:id="rId9"/>
          <w:pgSz w:w="11910" w:h="16840"/>
          <w:pgMar w:top="1280" w:right="1260" w:bottom="1240" w:left="1300" w:header="0" w:footer="1041" w:gutter="0"/>
          <w:pgNumType w:start="1"/>
          <w:cols w:space="720"/>
        </w:sectPr>
      </w:pPr>
    </w:p>
    <w:p w:rsidR="00746F9E" w:rsidRPr="00A32889" w:rsidRDefault="008372B3">
      <w:pPr>
        <w:pStyle w:val="ListParagraph"/>
        <w:numPr>
          <w:ilvl w:val="0"/>
          <w:numId w:val="3"/>
        </w:numPr>
        <w:tabs>
          <w:tab w:val="left" w:pos="824"/>
        </w:tabs>
        <w:spacing w:before="73"/>
        <w:ind w:right="165"/>
        <w:jc w:val="both"/>
        <w:rPr>
          <w:sz w:val="24"/>
          <w:lang w:val="fr-FR"/>
        </w:rPr>
      </w:pPr>
      <w:r w:rsidRPr="00A32889">
        <w:rPr>
          <w:sz w:val="24"/>
          <w:lang w:val="fr-FR"/>
        </w:rPr>
        <w:t>Il est important de prévoir une période de transition pour les personnes qui ont commencé un traitement avant l'entrée en vigueur de cette décision ;</w:t>
      </w:r>
    </w:p>
    <w:p w:rsidR="00746F9E" w:rsidRPr="00E816B5" w:rsidRDefault="008372B3">
      <w:pPr>
        <w:pStyle w:val="ListParagraph"/>
        <w:numPr>
          <w:ilvl w:val="0"/>
          <w:numId w:val="3"/>
        </w:numPr>
        <w:tabs>
          <w:tab w:val="left" w:pos="824"/>
        </w:tabs>
        <w:spacing w:before="121"/>
        <w:ind w:right="156"/>
        <w:jc w:val="both"/>
        <w:rPr>
          <w:sz w:val="24"/>
          <w:lang w:val="fr-FR"/>
        </w:rPr>
      </w:pPr>
      <w:r w:rsidRPr="00E816B5">
        <w:rPr>
          <w:sz w:val="24"/>
          <w:lang w:val="fr-FR"/>
        </w:rPr>
        <w:t>Les plafonds de remboursemen</w:t>
      </w:r>
      <w:r w:rsidRPr="00E816B5">
        <w:rPr>
          <w:sz w:val="24"/>
          <w:lang w:val="fr-FR"/>
        </w:rPr>
        <w:t>t fixés dans les dispositions générales d'exécution n'ont pas été ajustés depuis leur adoption en 2007. Il est donc nécessaire, jusqu'à l'adoption d'un système d'ajustement dynamique des plafonds, de relever les plafonds qui concernent un grand nombre de s</w:t>
      </w:r>
      <w:r w:rsidRPr="00E816B5">
        <w:rPr>
          <w:sz w:val="24"/>
          <w:lang w:val="fr-FR"/>
        </w:rPr>
        <w:t>ervices et de bénéficiaires, ainsi que ceux qui présentent un volume de dépenses important et/ou dont le niveau de remboursement est manifestement dépassé.</w:t>
      </w:r>
    </w:p>
    <w:p w:rsidR="00746F9E" w:rsidRPr="00E816B5" w:rsidRDefault="008372B3">
      <w:pPr>
        <w:pStyle w:val="BodyText"/>
        <w:ind w:left="116"/>
        <w:jc w:val="both"/>
        <w:rPr>
          <w:lang w:val="fr-FR"/>
        </w:rPr>
      </w:pPr>
      <w:r w:rsidRPr="00E816B5">
        <w:rPr>
          <w:lang w:val="fr-FR"/>
        </w:rPr>
        <w:t xml:space="preserve">A DÉCIDÉ CE QUI </w:t>
      </w:r>
      <w:r w:rsidRPr="00E816B5">
        <w:rPr>
          <w:spacing w:val="-2"/>
          <w:lang w:val="fr-FR"/>
        </w:rPr>
        <w:t>SUIT :</w:t>
      </w:r>
    </w:p>
    <w:p w:rsidR="00746F9E" w:rsidRPr="00E816B5" w:rsidRDefault="00746F9E">
      <w:pPr>
        <w:pStyle w:val="BodyText"/>
        <w:spacing w:before="84"/>
        <w:rPr>
          <w:lang w:val="fr-FR"/>
        </w:rPr>
      </w:pPr>
    </w:p>
    <w:p w:rsidR="00746F9E" w:rsidRPr="00E816B5" w:rsidRDefault="008372B3">
      <w:pPr>
        <w:ind w:left="4235"/>
        <w:jc w:val="both"/>
        <w:rPr>
          <w:i/>
          <w:sz w:val="24"/>
          <w:lang w:val="fr-FR"/>
        </w:rPr>
      </w:pPr>
      <w:r w:rsidRPr="00E816B5">
        <w:rPr>
          <w:i/>
          <w:sz w:val="24"/>
          <w:lang w:val="fr-FR"/>
        </w:rPr>
        <w:t xml:space="preserve">Article </w:t>
      </w:r>
      <w:r w:rsidRPr="00E816B5">
        <w:rPr>
          <w:i/>
          <w:spacing w:val="-10"/>
          <w:sz w:val="24"/>
          <w:lang w:val="fr-FR"/>
        </w:rPr>
        <w:t>1</w:t>
      </w:r>
    </w:p>
    <w:p w:rsidR="00746F9E" w:rsidRPr="00E816B5" w:rsidRDefault="008372B3">
      <w:pPr>
        <w:pStyle w:val="BodyText"/>
        <w:ind w:left="116" w:right="158"/>
        <w:jc w:val="both"/>
        <w:rPr>
          <w:lang w:val="fr-FR"/>
        </w:rPr>
      </w:pPr>
      <w:r w:rsidRPr="00E816B5">
        <w:rPr>
          <w:lang w:val="fr-FR"/>
        </w:rPr>
        <w:t>L'annexe de la décision de la Commission du 2 juillet 2007 portant dispositions générales d'exécution pour le remboursement des frais médicaux</w:t>
      </w:r>
      <w:r w:rsidRPr="00E816B5">
        <w:rPr>
          <w:vertAlign w:val="superscript"/>
          <w:lang w:val="fr-FR"/>
        </w:rPr>
        <w:t>3</w:t>
      </w:r>
      <w:r w:rsidRPr="00E816B5">
        <w:rPr>
          <w:lang w:val="fr-FR"/>
        </w:rPr>
        <w:t xml:space="preserve"> est modifiée comme suit :</w:t>
      </w:r>
    </w:p>
    <w:p w:rsidR="00746F9E" w:rsidRPr="00E816B5" w:rsidRDefault="008372B3">
      <w:pPr>
        <w:pStyle w:val="ListParagraph"/>
        <w:numPr>
          <w:ilvl w:val="1"/>
          <w:numId w:val="3"/>
        </w:numPr>
        <w:tabs>
          <w:tab w:val="left" w:pos="964"/>
        </w:tabs>
        <w:spacing w:before="121"/>
        <w:ind w:left="964" w:hanging="848"/>
        <w:jc w:val="both"/>
        <w:rPr>
          <w:sz w:val="24"/>
          <w:lang w:val="fr-FR"/>
        </w:rPr>
      </w:pPr>
      <w:r w:rsidRPr="00E816B5">
        <w:rPr>
          <w:sz w:val="24"/>
          <w:lang w:val="fr-FR"/>
        </w:rPr>
        <w:t xml:space="preserve">Au titre II, chapitre 7, le titre est remplacé par le </w:t>
      </w:r>
      <w:r w:rsidRPr="00E816B5">
        <w:rPr>
          <w:spacing w:val="-2"/>
          <w:sz w:val="24"/>
          <w:lang w:val="fr-FR"/>
        </w:rPr>
        <w:t>texte suivant :</w:t>
      </w:r>
    </w:p>
    <w:p w:rsidR="00746F9E" w:rsidRPr="00E816B5" w:rsidRDefault="008372B3">
      <w:pPr>
        <w:pStyle w:val="BodyText"/>
        <w:ind w:left="836" w:right="155"/>
        <w:jc w:val="both"/>
        <w:rPr>
          <w:lang w:val="fr-FR"/>
        </w:rPr>
      </w:pPr>
      <w:r w:rsidRPr="00E816B5">
        <w:rPr>
          <w:lang w:val="fr-FR"/>
        </w:rPr>
        <w:t>"Chapitre 7 - Gr</w:t>
      </w:r>
      <w:r w:rsidRPr="00E816B5">
        <w:rPr>
          <w:lang w:val="fr-FR"/>
        </w:rPr>
        <w:t>ossesse, accouchement et traitement de la stérilité (y compris la procréation médicalement assistée)"</w:t>
      </w:r>
    </w:p>
    <w:p w:rsidR="00746F9E" w:rsidRPr="00E816B5" w:rsidRDefault="008372B3">
      <w:pPr>
        <w:pStyle w:val="ListParagraph"/>
        <w:numPr>
          <w:ilvl w:val="1"/>
          <w:numId w:val="3"/>
        </w:numPr>
        <w:tabs>
          <w:tab w:val="left" w:pos="964"/>
        </w:tabs>
        <w:ind w:left="964" w:hanging="848"/>
        <w:jc w:val="both"/>
        <w:rPr>
          <w:sz w:val="24"/>
          <w:lang w:val="fr-FR"/>
        </w:rPr>
      </w:pPr>
      <w:r w:rsidRPr="00E816B5">
        <w:rPr>
          <w:sz w:val="24"/>
          <w:lang w:val="fr-FR"/>
        </w:rPr>
        <w:t xml:space="preserve">Au titre II, chapitre 7, le point 3 est remplacé par le </w:t>
      </w:r>
      <w:r w:rsidRPr="00E816B5">
        <w:rPr>
          <w:spacing w:val="-2"/>
          <w:sz w:val="24"/>
          <w:lang w:val="fr-FR"/>
        </w:rPr>
        <w:t>texte suivant :</w:t>
      </w:r>
    </w:p>
    <w:p w:rsidR="00746F9E" w:rsidRPr="00E816B5" w:rsidRDefault="008372B3">
      <w:pPr>
        <w:spacing w:before="120"/>
        <w:ind w:left="824" w:right="155" w:hanging="708"/>
        <w:jc w:val="both"/>
        <w:rPr>
          <w:b/>
          <w:sz w:val="24"/>
          <w:lang w:val="fr-FR"/>
        </w:rPr>
      </w:pPr>
      <w:r w:rsidRPr="00E816B5">
        <w:rPr>
          <w:sz w:val="24"/>
          <w:lang w:val="fr-FR"/>
        </w:rPr>
        <w:t>"</w:t>
      </w:r>
      <w:r w:rsidRPr="00E816B5">
        <w:rPr>
          <w:b/>
          <w:sz w:val="24"/>
          <w:lang w:val="fr-FR"/>
        </w:rPr>
        <w:t>3. Traitements et services remboursables relatifs aux traitements de fertilité (y</w:t>
      </w:r>
      <w:r w:rsidRPr="00E816B5">
        <w:rPr>
          <w:b/>
          <w:sz w:val="24"/>
          <w:lang w:val="fr-FR"/>
        </w:rPr>
        <w:t xml:space="preserve"> compris la procréation médicalement assistée)</w:t>
      </w:r>
    </w:p>
    <w:p w:rsidR="00746F9E" w:rsidRPr="00E816B5" w:rsidRDefault="008372B3">
      <w:pPr>
        <w:pStyle w:val="BodyText"/>
        <w:ind w:left="116" w:right="157"/>
        <w:jc w:val="both"/>
        <w:rPr>
          <w:lang w:val="fr-FR"/>
        </w:rPr>
      </w:pPr>
      <w:r w:rsidRPr="00E816B5">
        <w:rPr>
          <w:lang w:val="fr-FR"/>
        </w:rPr>
        <w:t>Les traitements et prestations en matière de fertilité et de procréation médicalement assistée, qu'ils soient liés à une pathologie ou hors contexte pathologique, peuvent être remboursés dans les conditions pr</w:t>
      </w:r>
      <w:r w:rsidRPr="00E816B5">
        <w:rPr>
          <w:lang w:val="fr-FR"/>
        </w:rPr>
        <w:t>évues par la présente section et pour autant qu'ils ne soient pas liés à une procédure de stérilisation volontaire que l'un ou l'autre des futurs parents aurait subie dans le passé.</w:t>
      </w:r>
    </w:p>
    <w:p w:rsidR="00746F9E" w:rsidRPr="00E816B5" w:rsidRDefault="008372B3">
      <w:pPr>
        <w:pStyle w:val="BodyText"/>
        <w:ind w:left="116"/>
        <w:jc w:val="both"/>
        <w:rPr>
          <w:lang w:val="fr-FR"/>
        </w:rPr>
      </w:pPr>
      <w:r w:rsidRPr="00E816B5">
        <w:rPr>
          <w:lang w:val="fr-FR"/>
        </w:rPr>
        <w:t>Les traitements suivants effectués sur les bénéficiaires sont remboursés a</w:t>
      </w:r>
      <w:r w:rsidRPr="00E816B5">
        <w:rPr>
          <w:lang w:val="fr-FR"/>
        </w:rPr>
        <w:t xml:space="preserve">u taux de 85 </w:t>
      </w:r>
      <w:r w:rsidRPr="00E816B5">
        <w:rPr>
          <w:spacing w:val="-5"/>
          <w:lang w:val="fr-FR"/>
        </w:rPr>
        <w:t>% :</w:t>
      </w:r>
    </w:p>
    <w:p w:rsidR="00746F9E" w:rsidRPr="00E816B5" w:rsidRDefault="008372B3">
      <w:pPr>
        <w:pStyle w:val="ListParagraph"/>
        <w:numPr>
          <w:ilvl w:val="1"/>
          <w:numId w:val="2"/>
        </w:numPr>
        <w:tabs>
          <w:tab w:val="left" w:pos="1556"/>
        </w:tabs>
        <w:jc w:val="both"/>
        <w:rPr>
          <w:sz w:val="24"/>
          <w:lang w:val="fr-FR"/>
        </w:rPr>
      </w:pPr>
      <w:r w:rsidRPr="00E816B5">
        <w:rPr>
          <w:spacing w:val="-2"/>
          <w:sz w:val="24"/>
          <w:lang w:val="fr-FR"/>
        </w:rPr>
        <w:t xml:space="preserve">Traitements </w:t>
      </w:r>
      <w:r w:rsidRPr="00E816B5">
        <w:rPr>
          <w:sz w:val="24"/>
          <w:lang w:val="fr-FR"/>
        </w:rPr>
        <w:t xml:space="preserve">pharmaceutiques </w:t>
      </w:r>
      <w:r w:rsidRPr="00E816B5">
        <w:rPr>
          <w:spacing w:val="-2"/>
          <w:sz w:val="24"/>
          <w:lang w:val="fr-FR"/>
        </w:rPr>
        <w:t xml:space="preserve">de la </w:t>
      </w:r>
      <w:r w:rsidRPr="00E816B5">
        <w:rPr>
          <w:sz w:val="24"/>
          <w:lang w:val="fr-FR"/>
        </w:rPr>
        <w:t>fertilité :</w:t>
      </w:r>
    </w:p>
    <w:p w:rsidR="00746F9E" w:rsidRPr="00E816B5" w:rsidRDefault="008372B3">
      <w:pPr>
        <w:pStyle w:val="ListParagraph"/>
        <w:numPr>
          <w:ilvl w:val="2"/>
          <w:numId w:val="2"/>
        </w:numPr>
        <w:tabs>
          <w:tab w:val="left" w:pos="2239"/>
          <w:tab w:val="left" w:pos="2241"/>
        </w:tabs>
        <w:ind w:right="152"/>
        <w:jc w:val="both"/>
        <w:rPr>
          <w:sz w:val="24"/>
          <w:lang w:val="fr-FR"/>
        </w:rPr>
      </w:pPr>
      <w:r w:rsidRPr="00E816B5">
        <w:rPr>
          <w:sz w:val="24"/>
          <w:lang w:val="fr-FR"/>
        </w:rPr>
        <w:t>Agents d'induction de l'ovulation figurant sur la liste des produits pharmaceutiques validés pour le remboursement par l'Ordre des médecins, lorsque l'utilisation de ces agents est médicalement</w:t>
      </w:r>
      <w:r w:rsidRPr="00E816B5">
        <w:rPr>
          <w:sz w:val="24"/>
          <w:lang w:val="fr-FR"/>
        </w:rPr>
        <w:t xml:space="preserve"> indiquée.</w:t>
      </w:r>
    </w:p>
    <w:p w:rsidR="00746F9E" w:rsidRPr="00E816B5" w:rsidRDefault="008372B3">
      <w:pPr>
        <w:pStyle w:val="ListParagraph"/>
        <w:numPr>
          <w:ilvl w:val="2"/>
          <w:numId w:val="2"/>
        </w:numPr>
        <w:tabs>
          <w:tab w:val="left" w:pos="2239"/>
          <w:tab w:val="left" w:pos="2241"/>
        </w:tabs>
        <w:ind w:right="156"/>
        <w:jc w:val="both"/>
        <w:rPr>
          <w:sz w:val="24"/>
          <w:lang w:val="fr-FR"/>
        </w:rPr>
      </w:pPr>
      <w:r w:rsidRPr="00E816B5">
        <w:rPr>
          <w:sz w:val="24"/>
          <w:lang w:val="fr-FR"/>
        </w:rPr>
        <w:t xml:space="preserve">Agents destinés à améliorer la qualité du sperme figurant sur la liste des produits pharmaceutiques validés pour le remboursement par </w:t>
      </w:r>
      <w:r w:rsidRPr="00E816B5">
        <w:rPr>
          <w:spacing w:val="-1"/>
          <w:sz w:val="24"/>
          <w:lang w:val="fr-FR"/>
        </w:rPr>
        <w:t>l</w:t>
      </w:r>
      <w:r w:rsidRPr="00E816B5">
        <w:rPr>
          <w:sz w:val="24"/>
          <w:lang w:val="fr-FR"/>
        </w:rPr>
        <w:t>'Ordre des médecins, lorsque l'utilisation de ces agents est médicalement indiquée.</w:t>
      </w:r>
    </w:p>
    <w:p w:rsidR="00746F9E" w:rsidRPr="00E816B5" w:rsidRDefault="008372B3">
      <w:pPr>
        <w:pStyle w:val="ListParagraph"/>
        <w:numPr>
          <w:ilvl w:val="1"/>
          <w:numId w:val="2"/>
        </w:numPr>
        <w:tabs>
          <w:tab w:val="left" w:pos="1556"/>
        </w:tabs>
        <w:spacing w:before="121"/>
        <w:jc w:val="both"/>
        <w:rPr>
          <w:sz w:val="24"/>
          <w:lang w:val="fr-FR"/>
        </w:rPr>
      </w:pPr>
      <w:r w:rsidRPr="00E816B5">
        <w:rPr>
          <w:spacing w:val="-2"/>
          <w:sz w:val="24"/>
          <w:lang w:val="fr-FR"/>
        </w:rPr>
        <w:t xml:space="preserve">Traitement </w:t>
      </w:r>
      <w:r w:rsidRPr="00E816B5">
        <w:rPr>
          <w:sz w:val="24"/>
          <w:lang w:val="fr-FR"/>
        </w:rPr>
        <w:t xml:space="preserve">chirurgical </w:t>
      </w:r>
      <w:r w:rsidRPr="00E816B5">
        <w:rPr>
          <w:spacing w:val="-2"/>
          <w:sz w:val="24"/>
          <w:lang w:val="fr-FR"/>
        </w:rPr>
        <w:t xml:space="preserve">de la </w:t>
      </w:r>
      <w:r w:rsidRPr="00E816B5">
        <w:rPr>
          <w:sz w:val="24"/>
          <w:lang w:val="fr-FR"/>
        </w:rPr>
        <w:t>fertilité :</w:t>
      </w:r>
    </w:p>
    <w:p w:rsidR="00746F9E" w:rsidRPr="00E816B5" w:rsidRDefault="008372B3">
      <w:pPr>
        <w:pStyle w:val="ListParagraph"/>
        <w:numPr>
          <w:ilvl w:val="2"/>
          <w:numId w:val="2"/>
        </w:numPr>
        <w:tabs>
          <w:tab w:val="left" w:pos="2239"/>
          <w:tab w:val="left" w:pos="2241"/>
        </w:tabs>
        <w:ind w:right="154"/>
        <w:jc w:val="both"/>
        <w:rPr>
          <w:sz w:val="24"/>
          <w:lang w:val="fr-FR"/>
        </w:rPr>
      </w:pPr>
      <w:r w:rsidRPr="00E816B5">
        <w:rPr>
          <w:sz w:val="24"/>
          <w:lang w:val="fr-FR"/>
        </w:rPr>
        <w:t>Interventions chirurgicales sur les organes reproducteurs féminins, lorsqu'elles sont médicalement indiquées :</w:t>
      </w:r>
    </w:p>
    <w:p w:rsidR="00746F9E" w:rsidRPr="00E816B5" w:rsidRDefault="008372B3">
      <w:pPr>
        <w:pStyle w:val="ListParagraph"/>
        <w:numPr>
          <w:ilvl w:val="3"/>
          <w:numId w:val="2"/>
        </w:numPr>
        <w:tabs>
          <w:tab w:val="left" w:pos="3237"/>
        </w:tabs>
        <w:ind w:right="155"/>
        <w:jc w:val="left"/>
        <w:rPr>
          <w:sz w:val="24"/>
          <w:lang w:val="fr-FR"/>
        </w:rPr>
      </w:pPr>
      <w:r w:rsidRPr="00E816B5">
        <w:rPr>
          <w:sz w:val="24"/>
          <w:lang w:val="fr-FR"/>
        </w:rPr>
        <w:t>Chirurgie laparoscopique (forage ovarien laparoscopique par diathermie ou laser) pour induire l'ovulation ;</w:t>
      </w:r>
    </w:p>
    <w:p w:rsidR="00746F9E" w:rsidRPr="00E816B5" w:rsidRDefault="008372B3">
      <w:pPr>
        <w:pStyle w:val="ListParagraph"/>
        <w:numPr>
          <w:ilvl w:val="3"/>
          <w:numId w:val="2"/>
        </w:numPr>
        <w:tabs>
          <w:tab w:val="left" w:pos="3236"/>
        </w:tabs>
        <w:ind w:left="3236" w:hanging="753"/>
        <w:jc w:val="left"/>
        <w:rPr>
          <w:sz w:val="24"/>
          <w:lang w:val="fr-FR"/>
        </w:rPr>
      </w:pPr>
      <w:r w:rsidRPr="00E816B5">
        <w:rPr>
          <w:sz w:val="24"/>
          <w:lang w:val="fr-FR"/>
        </w:rPr>
        <w:t>Procédures visant à</w:t>
      </w:r>
      <w:r w:rsidRPr="00E816B5">
        <w:rPr>
          <w:sz w:val="24"/>
          <w:lang w:val="fr-FR"/>
        </w:rPr>
        <w:t xml:space="preserve"> améliorer la </w:t>
      </w:r>
      <w:r w:rsidRPr="00E816B5">
        <w:rPr>
          <w:spacing w:val="-2"/>
          <w:sz w:val="24"/>
          <w:lang w:val="fr-FR"/>
        </w:rPr>
        <w:t xml:space="preserve">perméabilité des </w:t>
      </w:r>
      <w:r w:rsidRPr="00E816B5">
        <w:rPr>
          <w:sz w:val="24"/>
          <w:lang w:val="fr-FR"/>
        </w:rPr>
        <w:t>trompes ;</w:t>
      </w:r>
    </w:p>
    <w:p w:rsidR="00746F9E" w:rsidRDefault="008372B3">
      <w:pPr>
        <w:pStyle w:val="ListParagraph"/>
        <w:numPr>
          <w:ilvl w:val="3"/>
          <w:numId w:val="2"/>
        </w:numPr>
        <w:tabs>
          <w:tab w:val="left" w:pos="3236"/>
        </w:tabs>
        <w:ind w:left="3236" w:hanging="753"/>
        <w:jc w:val="left"/>
        <w:rPr>
          <w:sz w:val="24"/>
        </w:rPr>
      </w:pPr>
      <w:r>
        <w:rPr>
          <w:spacing w:val="-2"/>
          <w:sz w:val="24"/>
        </w:rPr>
        <w:t>Salpingectomie ;</w:t>
      </w:r>
    </w:p>
    <w:p w:rsidR="00746F9E" w:rsidRPr="00E816B5" w:rsidRDefault="008372B3">
      <w:pPr>
        <w:pStyle w:val="ListParagraph"/>
        <w:numPr>
          <w:ilvl w:val="3"/>
          <w:numId w:val="2"/>
        </w:numPr>
        <w:tabs>
          <w:tab w:val="left" w:pos="3236"/>
        </w:tabs>
        <w:ind w:left="3236" w:hanging="753"/>
        <w:jc w:val="left"/>
        <w:rPr>
          <w:sz w:val="24"/>
          <w:lang w:val="fr-FR"/>
        </w:rPr>
      </w:pPr>
      <w:r w:rsidRPr="00E816B5">
        <w:rPr>
          <w:sz w:val="24"/>
          <w:lang w:val="fr-FR"/>
        </w:rPr>
        <w:t xml:space="preserve">Résection chirurgicale des </w:t>
      </w:r>
      <w:r w:rsidRPr="00E816B5">
        <w:rPr>
          <w:spacing w:val="-2"/>
          <w:sz w:val="24"/>
          <w:lang w:val="fr-FR"/>
        </w:rPr>
        <w:t>lésions d'</w:t>
      </w:r>
      <w:r w:rsidRPr="00E816B5">
        <w:rPr>
          <w:sz w:val="24"/>
          <w:lang w:val="fr-FR"/>
        </w:rPr>
        <w:t>endométriose ;</w:t>
      </w:r>
    </w:p>
    <w:p w:rsidR="00746F9E" w:rsidRPr="00E816B5" w:rsidRDefault="00746F9E">
      <w:pPr>
        <w:pStyle w:val="BodyText"/>
        <w:spacing w:before="0"/>
        <w:rPr>
          <w:sz w:val="20"/>
          <w:lang w:val="fr-FR"/>
        </w:rPr>
      </w:pPr>
    </w:p>
    <w:p w:rsidR="00746F9E" w:rsidRPr="00E816B5" w:rsidRDefault="00746F9E">
      <w:pPr>
        <w:pStyle w:val="BodyText"/>
        <w:spacing w:before="0"/>
        <w:rPr>
          <w:sz w:val="20"/>
          <w:lang w:val="fr-FR"/>
        </w:rPr>
      </w:pPr>
    </w:p>
    <w:p w:rsidR="00746F9E" w:rsidRPr="00E816B5" w:rsidRDefault="008372B3">
      <w:pPr>
        <w:pStyle w:val="BodyText"/>
        <w:spacing w:before="19"/>
        <w:rPr>
          <w:sz w:val="20"/>
          <w:lang w:val="fr-FR"/>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899464</wp:posOffset>
                </wp:positionH>
                <wp:positionV relativeFrom="paragraph">
                  <wp:posOffset>173833</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5234CF" id="Graphic 8" o:spid="_x0000_s1026" style="position:absolute;margin-left:70.8pt;margin-top:13.7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CmNQIAAOEEAAAOAAAAZHJzL2Uyb0RvYy54bWysVMFu2zAMvQ/YPwi6L07SNU2NOMXQosWA&#10;oivQDDsrshwbk0VNVGL370fJVuptpw3zQabMJ+qRj/Tmpm81OymHDZiCL2ZzzpSRUDbmUPCvu/sP&#10;a87QC1MKDUYV/FUhv9m+f7fpbK6WUIMulWMUxGDe2YLX3ts8y1DWqhU4A6sMOStwrfC0dYesdKKj&#10;6K3OlvP5KuvAldaBVIj09W5w8m2MX1VK+i9VhcozXXDi5uPq4roPa7bdiPzghK0bOdIQ/8CiFY2h&#10;S8+h7oQX7OiaP0K1jXSAUPmZhDaDqmqkijlQNov5b9m81MKqmAsVB+25TPj/wsqn07NjTVlwEsqI&#10;liR6GKuxDsXpLOaEebHPLqSH9hHkdyRH9osnbHDE9JVrA5aSY32s9Ou50qr3TNLHxXp5/fHikjNJ&#10;vqvVMgqRiTydlUf0DwpiHHF6RD/oVCZL1MmSvUmmI7WDzjrq7DkjnR1npPN+0NkKH84FcsFk3YRI&#10;PfIIzhZOagcR5kMKge388oKzlAgxfcNoM8VSk01QyZfeNsYbMFerxXXgRcGSO70H2PTavwKnaqZw&#10;UgOq4aaQd7zyXAu6flptBN2U943WIX10h/2tduwkwvjEZ2Q8gcVOGMQPbbCH8pVaqqMuKjj+OAqn&#10;ONOfDTVtGMBkuGTsk+G8voU4prHyDv2u/yacZZbMgnvqnSdIIyHy1BbEPwAGbDhp4NPRQ9WEnonc&#10;BkbjhuYo5j/OfBjU6T6i3v5M258AAAD//wMAUEsDBBQABgAIAAAAIQDAs1y84QAAAAkBAAAPAAAA&#10;ZHJzL2Rvd25yZXYueG1sTI/BTsMwDIbvSLxDZCQuaEvXVd1Wmk5TEQeYEGwgzlljmoomKUm2lbfH&#10;nOD4259+fy7Xo+nZCX3onBUwmybA0DZOdbYV8PZ6P1kCC1FaJXtnUcA3BlhXlxelLJQ72x2e9rFl&#10;VGJDIQXoGIeC89BoNDJM3YCWdh/OGxkp+pYrL89UbnqeJknOjewsXdBywFpj87k/GgH1OG7unh90&#10;c/OIL0/v85Wv519bIa6vxs0tsIhj/IPhV5/UoSKngztaFVhPOZvlhApIFxkwArJ0tQB2oMEyB16V&#10;/P8H1Q8AAAD//wMAUEsBAi0AFAAGAAgAAAAhALaDOJL+AAAA4QEAABMAAAAAAAAAAAAAAAAAAAAA&#10;AFtDb250ZW50X1R5cGVzXS54bWxQSwECLQAUAAYACAAAACEAOP0h/9YAAACUAQAACwAAAAAAAAAA&#10;AAAAAAAvAQAAX3JlbHMvLnJlbHNQSwECLQAUAAYACAAAACEAZpbQpjUCAADhBAAADgAAAAAAAAAA&#10;AAAAAAAuAgAAZHJzL2Uyb0RvYy54bWxQSwECLQAUAAYACAAAACEAwLNcvOEAAAAJAQAADwAAAAAA&#10;AAAAAAAAAACPBAAAZHJzL2Rvd25yZXYueG1sUEsFBgAAAAAEAAQA8wAAAJ0FAAAAAA==&#10;" path="m1829053,l,,,7619r1829053,l1829053,xe" fillcolor="black" stroked="f">
                <v:path arrowok="t"/>
                <w10:wrap type="topAndBottom" anchorx="page"/>
              </v:shape>
            </w:pict>
          </mc:Fallback>
        </mc:AlternateContent>
      </w:r>
    </w:p>
    <w:p w:rsidR="00746F9E" w:rsidRDefault="008372B3">
      <w:pPr>
        <w:tabs>
          <w:tab w:val="left" w:pos="836"/>
        </w:tabs>
        <w:spacing w:before="103"/>
        <w:ind w:left="116"/>
        <w:rPr>
          <w:sz w:val="20"/>
        </w:rPr>
      </w:pPr>
      <w:r>
        <w:rPr>
          <w:spacing w:val="-10"/>
          <w:sz w:val="20"/>
          <w:vertAlign w:val="superscript"/>
        </w:rPr>
        <w:t>3</w:t>
      </w:r>
      <w:r>
        <w:rPr>
          <w:sz w:val="20"/>
        </w:rPr>
        <w:tab/>
      </w:r>
      <w:r>
        <w:rPr>
          <w:spacing w:val="-2"/>
          <w:sz w:val="20"/>
        </w:rPr>
        <w:t>C(2007)3195.</w:t>
      </w:r>
    </w:p>
    <w:p w:rsidR="00746F9E" w:rsidRDefault="00746F9E">
      <w:pPr>
        <w:rPr>
          <w:sz w:val="20"/>
        </w:rPr>
        <w:sectPr w:rsidR="00746F9E">
          <w:pgSz w:w="11910" w:h="16840"/>
          <w:pgMar w:top="1040" w:right="1260" w:bottom="1240" w:left="1300" w:header="0" w:footer="1041" w:gutter="0"/>
          <w:cols w:space="720"/>
        </w:sectPr>
      </w:pPr>
    </w:p>
    <w:p w:rsidR="00746F9E" w:rsidRPr="00E816B5" w:rsidRDefault="008372B3">
      <w:pPr>
        <w:pStyle w:val="ListParagraph"/>
        <w:numPr>
          <w:ilvl w:val="3"/>
          <w:numId w:val="2"/>
        </w:numPr>
        <w:tabs>
          <w:tab w:val="left" w:pos="3237"/>
        </w:tabs>
        <w:spacing w:before="73"/>
        <w:ind w:right="156"/>
        <w:jc w:val="left"/>
        <w:rPr>
          <w:sz w:val="24"/>
          <w:lang w:val="fr-FR"/>
        </w:rPr>
      </w:pPr>
      <w:r w:rsidRPr="00E816B5">
        <w:rPr>
          <w:sz w:val="24"/>
          <w:lang w:val="fr-FR"/>
        </w:rPr>
        <w:t>Résection hystéroscopique d'une cloison utérine ou lyse des adhérences ou polypectomie endométriale ;</w:t>
      </w:r>
    </w:p>
    <w:p w:rsidR="00746F9E" w:rsidRDefault="008372B3">
      <w:pPr>
        <w:pStyle w:val="ListParagraph"/>
        <w:numPr>
          <w:ilvl w:val="3"/>
          <w:numId w:val="2"/>
        </w:numPr>
        <w:tabs>
          <w:tab w:val="left" w:pos="3236"/>
        </w:tabs>
        <w:spacing w:before="121"/>
        <w:ind w:left="3236" w:hanging="753"/>
        <w:jc w:val="left"/>
        <w:rPr>
          <w:sz w:val="24"/>
        </w:rPr>
      </w:pPr>
      <w:r>
        <w:rPr>
          <w:spacing w:val="-2"/>
          <w:sz w:val="24"/>
        </w:rPr>
        <w:t>Myomect</w:t>
      </w:r>
      <w:r>
        <w:rPr>
          <w:spacing w:val="-2"/>
          <w:sz w:val="24"/>
        </w:rPr>
        <w:t>omie ;</w:t>
      </w:r>
    </w:p>
    <w:p w:rsidR="00746F9E" w:rsidRPr="00E816B5" w:rsidRDefault="008372B3">
      <w:pPr>
        <w:pStyle w:val="ListParagraph"/>
        <w:numPr>
          <w:ilvl w:val="3"/>
          <w:numId w:val="2"/>
        </w:numPr>
        <w:tabs>
          <w:tab w:val="left" w:pos="3236"/>
        </w:tabs>
        <w:ind w:left="3236" w:hanging="753"/>
        <w:jc w:val="left"/>
        <w:rPr>
          <w:sz w:val="24"/>
          <w:lang w:val="fr-FR"/>
        </w:rPr>
      </w:pPr>
      <w:r w:rsidRPr="00E816B5">
        <w:rPr>
          <w:sz w:val="24"/>
          <w:lang w:val="fr-FR"/>
        </w:rPr>
        <w:t xml:space="preserve">Opérations de l'utérus en cas de </w:t>
      </w:r>
      <w:r w:rsidRPr="00E816B5">
        <w:rPr>
          <w:spacing w:val="-2"/>
          <w:sz w:val="24"/>
          <w:lang w:val="fr-FR"/>
        </w:rPr>
        <w:t>malformation.</w:t>
      </w:r>
    </w:p>
    <w:p w:rsidR="00746F9E" w:rsidRPr="00E816B5" w:rsidRDefault="008372B3">
      <w:pPr>
        <w:pStyle w:val="BodyText"/>
        <w:ind w:left="2243"/>
        <w:rPr>
          <w:lang w:val="fr-FR"/>
        </w:rPr>
      </w:pPr>
      <w:r w:rsidRPr="00E816B5">
        <w:rPr>
          <w:lang w:val="fr-FR"/>
        </w:rPr>
        <w:t>Aucun remboursement ne peut être accordé pour des interventions ayant pour objectif l'inversion d'une stérilisation volontaire.</w:t>
      </w:r>
    </w:p>
    <w:p w:rsidR="00746F9E" w:rsidRPr="00E816B5" w:rsidRDefault="008372B3">
      <w:pPr>
        <w:pStyle w:val="ListParagraph"/>
        <w:numPr>
          <w:ilvl w:val="2"/>
          <w:numId w:val="2"/>
        </w:numPr>
        <w:tabs>
          <w:tab w:val="left" w:pos="2233"/>
        </w:tabs>
        <w:ind w:left="2233" w:right="155" w:hanging="702"/>
        <w:rPr>
          <w:sz w:val="24"/>
          <w:lang w:val="fr-FR"/>
        </w:rPr>
      </w:pPr>
      <w:r w:rsidRPr="00E816B5">
        <w:rPr>
          <w:sz w:val="24"/>
          <w:lang w:val="fr-FR"/>
        </w:rPr>
        <w:t xml:space="preserve">Interventions chirurgicales sur les organes reproducteurs masculins lorsqu'elles sont médicalement </w:t>
      </w:r>
      <w:r w:rsidRPr="00E816B5">
        <w:rPr>
          <w:spacing w:val="-2"/>
          <w:sz w:val="24"/>
          <w:lang w:val="fr-FR"/>
        </w:rPr>
        <w:t>indiquées :</w:t>
      </w:r>
    </w:p>
    <w:p w:rsidR="00746F9E" w:rsidRPr="00E816B5" w:rsidRDefault="008372B3">
      <w:pPr>
        <w:pStyle w:val="ListParagraph"/>
        <w:numPr>
          <w:ilvl w:val="3"/>
          <w:numId w:val="2"/>
        </w:numPr>
        <w:tabs>
          <w:tab w:val="left" w:pos="3237"/>
        </w:tabs>
        <w:ind w:right="155"/>
        <w:jc w:val="left"/>
        <w:rPr>
          <w:sz w:val="24"/>
          <w:lang w:val="fr-FR"/>
        </w:rPr>
      </w:pPr>
      <w:r w:rsidRPr="00E816B5">
        <w:rPr>
          <w:sz w:val="24"/>
          <w:lang w:val="fr-FR"/>
        </w:rPr>
        <w:t>Vaso-vasostomie, dans la limite d'un plafond correspondant aux interventions chirurgicales de la catégorie B1 ;</w:t>
      </w:r>
    </w:p>
    <w:p w:rsidR="00746F9E" w:rsidRPr="00E816B5" w:rsidRDefault="008372B3">
      <w:pPr>
        <w:pStyle w:val="ListParagraph"/>
        <w:numPr>
          <w:ilvl w:val="3"/>
          <w:numId w:val="2"/>
        </w:numPr>
        <w:tabs>
          <w:tab w:val="left" w:pos="3237"/>
        </w:tabs>
        <w:ind w:right="153"/>
        <w:jc w:val="left"/>
        <w:rPr>
          <w:sz w:val="24"/>
          <w:lang w:val="fr-FR"/>
        </w:rPr>
      </w:pPr>
      <w:r w:rsidRPr="00E816B5">
        <w:rPr>
          <w:sz w:val="24"/>
          <w:lang w:val="fr-FR"/>
        </w:rPr>
        <w:t>Anastomose épidymo-déférentielle,</w:t>
      </w:r>
      <w:r w:rsidRPr="00E816B5">
        <w:rPr>
          <w:sz w:val="24"/>
          <w:lang w:val="fr-FR"/>
        </w:rPr>
        <w:t xml:space="preserve"> dans la limite d'un plafond correspondant aux interventions chirurgicales de la catégorie B1 ;</w:t>
      </w:r>
    </w:p>
    <w:p w:rsidR="00746F9E" w:rsidRPr="00E816B5" w:rsidRDefault="008372B3">
      <w:pPr>
        <w:pStyle w:val="ListParagraph"/>
        <w:numPr>
          <w:ilvl w:val="3"/>
          <w:numId w:val="2"/>
        </w:numPr>
        <w:tabs>
          <w:tab w:val="left" w:pos="3237"/>
        </w:tabs>
        <w:spacing w:before="121"/>
        <w:ind w:right="155"/>
        <w:jc w:val="left"/>
        <w:rPr>
          <w:sz w:val="24"/>
          <w:lang w:val="fr-FR"/>
        </w:rPr>
      </w:pPr>
      <w:r w:rsidRPr="00E816B5">
        <w:rPr>
          <w:sz w:val="24"/>
          <w:lang w:val="fr-FR"/>
        </w:rPr>
        <w:t>Résection du canal éjaculatoire, dans la limite d'un plafond correspondant aux interventions chirurgicales de la catégorie B1 ;</w:t>
      </w:r>
    </w:p>
    <w:p w:rsidR="00746F9E" w:rsidRPr="00E816B5" w:rsidRDefault="008372B3">
      <w:pPr>
        <w:pStyle w:val="ListParagraph"/>
        <w:numPr>
          <w:ilvl w:val="3"/>
          <w:numId w:val="2"/>
        </w:numPr>
        <w:tabs>
          <w:tab w:val="left" w:pos="3237"/>
        </w:tabs>
        <w:ind w:right="153"/>
        <w:jc w:val="left"/>
        <w:rPr>
          <w:sz w:val="24"/>
          <w:lang w:val="fr-FR"/>
        </w:rPr>
      </w:pPr>
      <w:r w:rsidRPr="00E816B5">
        <w:rPr>
          <w:sz w:val="24"/>
          <w:lang w:val="fr-FR"/>
        </w:rPr>
        <w:t>Réparation de varicocèle (ablati</w:t>
      </w:r>
      <w:r w:rsidRPr="00E816B5">
        <w:rPr>
          <w:sz w:val="24"/>
          <w:lang w:val="fr-FR"/>
        </w:rPr>
        <w:t>on chirurgicale ou embolie), dans la limite d'un plafond correspondant aux interventions chirurgicales de la catégorie A2.</w:t>
      </w:r>
    </w:p>
    <w:p w:rsidR="00746F9E" w:rsidRPr="00E816B5" w:rsidRDefault="008372B3">
      <w:pPr>
        <w:pStyle w:val="BodyText"/>
        <w:ind w:left="2243"/>
        <w:rPr>
          <w:lang w:val="fr-FR"/>
        </w:rPr>
      </w:pPr>
      <w:r w:rsidRPr="00E816B5">
        <w:rPr>
          <w:lang w:val="fr-FR"/>
        </w:rPr>
        <w:t>Aucun remboursement ne peut être accordé pour les interventions ayant pour objectif l'inversion de la vasectomie.</w:t>
      </w:r>
    </w:p>
    <w:p w:rsidR="00746F9E" w:rsidRPr="00E816B5" w:rsidRDefault="008372B3">
      <w:pPr>
        <w:pStyle w:val="BodyText"/>
        <w:ind w:left="2241"/>
        <w:rPr>
          <w:lang w:val="fr-FR"/>
        </w:rPr>
      </w:pPr>
      <w:r w:rsidRPr="00E816B5">
        <w:rPr>
          <w:lang w:val="fr-FR"/>
        </w:rPr>
        <w:t>Le remboursement de</w:t>
      </w:r>
      <w:r w:rsidRPr="00E816B5">
        <w:rPr>
          <w:lang w:val="fr-FR"/>
        </w:rPr>
        <w:t xml:space="preserve">s implants péniens est abordé dans le chapitre consacré aux </w:t>
      </w:r>
      <w:r w:rsidRPr="00E816B5">
        <w:rPr>
          <w:spacing w:val="-2"/>
          <w:lang w:val="fr-FR"/>
        </w:rPr>
        <w:t>prothèses.</w:t>
      </w:r>
    </w:p>
    <w:p w:rsidR="00746F9E" w:rsidRPr="00E816B5" w:rsidRDefault="008372B3">
      <w:pPr>
        <w:pStyle w:val="ListParagraph"/>
        <w:numPr>
          <w:ilvl w:val="1"/>
          <w:numId w:val="2"/>
        </w:numPr>
        <w:tabs>
          <w:tab w:val="left" w:pos="1534"/>
        </w:tabs>
        <w:ind w:left="1534" w:right="157" w:hanging="711"/>
        <w:jc w:val="both"/>
        <w:rPr>
          <w:sz w:val="24"/>
          <w:lang w:val="fr-FR"/>
        </w:rPr>
      </w:pPr>
      <w:r w:rsidRPr="00E816B5">
        <w:rPr>
          <w:sz w:val="24"/>
          <w:lang w:val="fr-FR"/>
        </w:rPr>
        <w:t>Les traitements de procréation médicalement assistée suivants peuvent être remboursés sous réserve des conditions et des limites d'âge précisées dans la présente section, lorsqu'une ass</w:t>
      </w:r>
      <w:r w:rsidRPr="00E816B5">
        <w:rPr>
          <w:sz w:val="24"/>
          <w:lang w:val="fr-FR"/>
        </w:rPr>
        <w:t>istance médicale est nécessaire :</w:t>
      </w:r>
    </w:p>
    <w:p w:rsidR="00746F9E" w:rsidRPr="00E816B5" w:rsidRDefault="008372B3">
      <w:pPr>
        <w:pStyle w:val="ListParagraph"/>
        <w:numPr>
          <w:ilvl w:val="2"/>
          <w:numId w:val="2"/>
        </w:numPr>
        <w:tabs>
          <w:tab w:val="left" w:pos="2229"/>
          <w:tab w:val="left" w:pos="2231"/>
        </w:tabs>
        <w:ind w:left="2231" w:right="160" w:hanging="697"/>
        <w:jc w:val="both"/>
        <w:rPr>
          <w:sz w:val="24"/>
          <w:lang w:val="fr-FR"/>
        </w:rPr>
      </w:pPr>
      <w:r w:rsidRPr="00E816B5">
        <w:rPr>
          <w:sz w:val="24"/>
          <w:lang w:val="fr-FR"/>
        </w:rPr>
        <w:t>insémination intra-utérine avec le sperme du patient ou du donneur, jusqu'à un maximum de six tentatives par enfant ;</w:t>
      </w:r>
    </w:p>
    <w:p w:rsidR="00746F9E" w:rsidRPr="00E816B5" w:rsidRDefault="008372B3">
      <w:pPr>
        <w:pStyle w:val="ListParagraph"/>
        <w:numPr>
          <w:ilvl w:val="2"/>
          <w:numId w:val="2"/>
        </w:numPr>
        <w:tabs>
          <w:tab w:val="left" w:pos="2229"/>
          <w:tab w:val="left" w:pos="2231"/>
        </w:tabs>
        <w:ind w:left="2231" w:right="158" w:hanging="697"/>
        <w:jc w:val="both"/>
        <w:rPr>
          <w:sz w:val="24"/>
          <w:lang w:val="fr-FR"/>
        </w:rPr>
      </w:pPr>
      <w:r w:rsidRPr="00E816B5">
        <w:rPr>
          <w:sz w:val="24"/>
          <w:lang w:val="fr-FR"/>
        </w:rPr>
        <w:t>la sélection d'échantillons de sperme (déférent, épididymaire ou testiculaire) et leur préparation en vu</w:t>
      </w:r>
      <w:r w:rsidRPr="00E816B5">
        <w:rPr>
          <w:sz w:val="24"/>
          <w:lang w:val="fr-FR"/>
        </w:rPr>
        <w:t>e d'une injection intra-cytoplasmique de spermatozoïdes (ci-après : "ICSI"), dans la limite d'un plafond correspondant à la catégorie A2 des interventions chirurgicales ;</w:t>
      </w:r>
    </w:p>
    <w:p w:rsidR="00746F9E" w:rsidRPr="00E816B5" w:rsidRDefault="008372B3">
      <w:pPr>
        <w:pStyle w:val="ListParagraph"/>
        <w:numPr>
          <w:ilvl w:val="2"/>
          <w:numId w:val="2"/>
        </w:numPr>
        <w:tabs>
          <w:tab w:val="left" w:pos="2229"/>
          <w:tab w:val="left" w:pos="2231"/>
        </w:tabs>
        <w:ind w:left="2231" w:right="158" w:hanging="697"/>
        <w:jc w:val="both"/>
        <w:rPr>
          <w:sz w:val="24"/>
          <w:lang w:val="fr-FR"/>
        </w:rPr>
      </w:pPr>
      <w:r w:rsidRPr="00E816B5">
        <w:rPr>
          <w:sz w:val="24"/>
          <w:lang w:val="fr-FR"/>
        </w:rPr>
        <w:t>la fécondation in vitro (ci-après : "FIV"), y compris l'ICSI, dans la limite d'un plafond correspondant aux interventions chirurgicales de la catégorie B1.</w:t>
      </w:r>
    </w:p>
    <w:p w:rsidR="00746F9E" w:rsidRPr="00E816B5" w:rsidRDefault="008372B3">
      <w:pPr>
        <w:pStyle w:val="BodyText"/>
        <w:spacing w:before="121"/>
        <w:ind w:left="2243" w:right="161" w:firstLine="4"/>
        <w:jc w:val="both"/>
        <w:rPr>
          <w:lang w:val="fr-FR"/>
        </w:rPr>
      </w:pPr>
      <w:r w:rsidRPr="00E816B5">
        <w:rPr>
          <w:lang w:val="fr-FR"/>
        </w:rPr>
        <w:t>Le nombre maximum de tentatives de FIV pouvant être remboursées est de 8 à vie.</w:t>
      </w:r>
    </w:p>
    <w:p w:rsidR="00746F9E" w:rsidRPr="00E816B5" w:rsidRDefault="008372B3">
      <w:pPr>
        <w:pStyle w:val="BodyText"/>
        <w:ind w:left="2243" w:right="153" w:firstLine="4"/>
        <w:jc w:val="both"/>
        <w:rPr>
          <w:lang w:val="fr-FR"/>
        </w:rPr>
      </w:pPr>
      <w:r w:rsidRPr="00E816B5">
        <w:rPr>
          <w:lang w:val="fr-FR"/>
        </w:rPr>
        <w:t xml:space="preserve">Jusqu'à l'âge de 40 </w:t>
      </w:r>
      <w:r w:rsidRPr="00E816B5">
        <w:rPr>
          <w:lang w:val="fr-FR"/>
        </w:rPr>
        <w:t xml:space="preserve">ans, le remboursement des frais de la première FIV ne peut être accordé qu'après épuisement des six tentatives d'insémination intra-utérine. Des exceptions à cette règle peuvent être accordées sous réserve d'une autorisation préalable lorsqu'il existe des </w:t>
      </w:r>
      <w:r w:rsidRPr="00E816B5">
        <w:rPr>
          <w:lang w:val="fr-FR"/>
        </w:rPr>
        <w:t>raisons médicales justifiant que l'insémination intra-utérine de spermatozoïdes n'a pas de chances de succès ou des chances très limitées.</w:t>
      </w:r>
    </w:p>
    <w:p w:rsidR="00746F9E" w:rsidRPr="00E816B5" w:rsidRDefault="008372B3">
      <w:pPr>
        <w:pStyle w:val="BodyText"/>
        <w:ind w:left="2243" w:right="152" w:firstLine="4"/>
        <w:jc w:val="both"/>
        <w:rPr>
          <w:lang w:val="fr-FR"/>
        </w:rPr>
      </w:pPr>
      <w:r w:rsidRPr="00E816B5">
        <w:rPr>
          <w:lang w:val="fr-FR"/>
        </w:rPr>
        <w:t>Au moins la première tentative de FIV doit avoir lieu avant le 45e anniversaire du bénéficiaire. Cette condition ne s</w:t>
      </w:r>
      <w:r w:rsidRPr="00E816B5">
        <w:rPr>
          <w:lang w:val="fr-FR"/>
        </w:rPr>
        <w:t>'applique pas aux personnes qui atteindront leur 45e anniversaire dans les 18 mois suivant la date de prise d'effet du présent point 3.</w:t>
      </w:r>
    </w:p>
    <w:p w:rsidR="00746F9E" w:rsidRPr="00E816B5" w:rsidRDefault="00746F9E">
      <w:pPr>
        <w:jc w:val="both"/>
        <w:rPr>
          <w:lang w:val="fr-FR"/>
        </w:rPr>
        <w:sectPr w:rsidR="00746F9E" w:rsidRPr="00E816B5">
          <w:pgSz w:w="11910" w:h="16840"/>
          <w:pgMar w:top="1040" w:right="1260" w:bottom="1240" w:left="1300" w:header="0" w:footer="1041" w:gutter="0"/>
          <w:cols w:space="720"/>
        </w:sectPr>
      </w:pPr>
    </w:p>
    <w:p w:rsidR="00746F9E" w:rsidRPr="00E816B5" w:rsidRDefault="008372B3">
      <w:pPr>
        <w:pStyle w:val="BodyText"/>
        <w:spacing w:before="73"/>
        <w:ind w:left="2243" w:firstLine="4"/>
        <w:rPr>
          <w:lang w:val="fr-FR"/>
        </w:rPr>
      </w:pPr>
      <w:r w:rsidRPr="00E816B5">
        <w:rPr>
          <w:lang w:val="fr-FR"/>
        </w:rPr>
        <w:t xml:space="preserve">Les tentatives de FIV entre le 45e et le 48e anniversaire peuvent être remboursées sous réserve d'une </w:t>
      </w:r>
      <w:r w:rsidRPr="00E816B5">
        <w:rPr>
          <w:lang w:val="fr-FR"/>
        </w:rPr>
        <w:t>autorisation préalable.</w:t>
      </w:r>
    </w:p>
    <w:p w:rsidR="00746F9E" w:rsidRPr="00E816B5" w:rsidRDefault="008372B3">
      <w:pPr>
        <w:pStyle w:val="BodyText"/>
        <w:spacing w:before="121"/>
        <w:ind w:left="2248"/>
        <w:rPr>
          <w:lang w:val="fr-FR"/>
        </w:rPr>
      </w:pPr>
      <w:r w:rsidRPr="00E816B5">
        <w:rPr>
          <w:lang w:val="fr-FR"/>
        </w:rPr>
        <w:t xml:space="preserve">Les coûts remboursables couvrent les </w:t>
      </w:r>
      <w:r w:rsidRPr="00E816B5">
        <w:rPr>
          <w:spacing w:val="-2"/>
          <w:lang w:val="fr-FR"/>
        </w:rPr>
        <w:t xml:space="preserve">interventions </w:t>
      </w:r>
      <w:r w:rsidRPr="00E816B5">
        <w:rPr>
          <w:lang w:val="fr-FR"/>
        </w:rPr>
        <w:t>suivantes :</w:t>
      </w:r>
    </w:p>
    <w:p w:rsidR="00746F9E" w:rsidRPr="00E816B5" w:rsidRDefault="008372B3">
      <w:pPr>
        <w:pStyle w:val="BodyText"/>
        <w:ind w:left="116"/>
        <w:rPr>
          <w:lang w:val="fr-FR"/>
        </w:rPr>
      </w:pPr>
      <w:r w:rsidRPr="00E816B5">
        <w:rPr>
          <w:lang w:val="fr-FR"/>
        </w:rPr>
        <w:t>le prélèvement de spermatocytes, y compris les coûts des analyses et des tests, et la conservation à court terme de spermatocytes sélectionnés, dans l'attente de leur ut</w:t>
      </w:r>
      <w:r w:rsidRPr="00E816B5">
        <w:rPr>
          <w:lang w:val="fr-FR"/>
        </w:rPr>
        <w:t>ilisation pour la fécondation ;</w:t>
      </w:r>
    </w:p>
    <w:p w:rsidR="00746F9E" w:rsidRPr="00E816B5" w:rsidRDefault="008372B3">
      <w:pPr>
        <w:pStyle w:val="BodyText"/>
        <w:ind w:left="116"/>
        <w:rPr>
          <w:lang w:val="fr-FR"/>
        </w:rPr>
      </w:pPr>
      <w:r w:rsidRPr="00E816B5">
        <w:rPr>
          <w:lang w:val="fr-FR"/>
        </w:rPr>
        <w:t>la stimulation et le prélèvement d'ovocytes, y compris les coûts des analyses et des tests, et la conservation à court terme d'ovocytes sélectionnés, dans l'attente de leur utilisation pour la fécondation ;</w:t>
      </w:r>
    </w:p>
    <w:p w:rsidR="00746F9E" w:rsidRPr="00E816B5" w:rsidRDefault="008372B3">
      <w:pPr>
        <w:pStyle w:val="BodyText"/>
        <w:spacing w:line="343" w:lineRule="auto"/>
        <w:ind w:left="116" w:right="1750"/>
        <w:rPr>
          <w:lang w:val="fr-FR"/>
        </w:rPr>
      </w:pPr>
      <w:r w:rsidRPr="00E816B5">
        <w:rPr>
          <w:lang w:val="fr-FR"/>
        </w:rPr>
        <w:t>stimulation et pr</w:t>
      </w:r>
      <w:r w:rsidRPr="00E816B5">
        <w:rPr>
          <w:lang w:val="fr-FR"/>
        </w:rPr>
        <w:t>élèvement d'ovocytes auprès d'une donneuse, à l'exclusion de tout autre frais ; sur autorisation préalable, achat de sperme par l'intermédiaire d'un centre de fertilité ;</w:t>
      </w:r>
    </w:p>
    <w:p w:rsidR="00746F9E" w:rsidRPr="00E816B5" w:rsidRDefault="008372B3">
      <w:pPr>
        <w:pStyle w:val="BodyText"/>
        <w:spacing w:before="3"/>
        <w:ind w:left="116"/>
        <w:rPr>
          <w:lang w:val="fr-FR"/>
        </w:rPr>
      </w:pPr>
      <w:r w:rsidRPr="00E816B5">
        <w:rPr>
          <w:lang w:val="fr-FR"/>
        </w:rPr>
        <w:t>la fécondation à partir des ovocytes et des spermatocytes sélectionnés, y compris les</w:t>
      </w:r>
      <w:r w:rsidRPr="00E816B5">
        <w:rPr>
          <w:lang w:val="fr-FR"/>
        </w:rPr>
        <w:t xml:space="preserve"> coûts de culture, d'analyse et de test, ainsi que de conservation à court terme des embryons sélectionnés ;</w:t>
      </w:r>
    </w:p>
    <w:p w:rsidR="00746F9E" w:rsidRPr="00E816B5" w:rsidRDefault="008372B3">
      <w:pPr>
        <w:pStyle w:val="BodyText"/>
        <w:ind w:left="116"/>
        <w:rPr>
          <w:lang w:val="fr-FR"/>
        </w:rPr>
      </w:pPr>
      <w:r w:rsidRPr="00E816B5">
        <w:rPr>
          <w:lang w:val="fr-FR"/>
        </w:rPr>
        <w:t>le transfert des embryons sélectionnés dans l'utérus</w:t>
      </w:r>
      <w:r w:rsidRPr="00E816B5">
        <w:rPr>
          <w:spacing w:val="-2"/>
          <w:lang w:val="fr-FR"/>
        </w:rPr>
        <w:t>.</w:t>
      </w:r>
    </w:p>
    <w:p w:rsidR="00746F9E" w:rsidRPr="00E816B5" w:rsidRDefault="008372B3">
      <w:pPr>
        <w:pStyle w:val="ListParagraph"/>
        <w:numPr>
          <w:ilvl w:val="2"/>
          <w:numId w:val="2"/>
        </w:numPr>
        <w:tabs>
          <w:tab w:val="left" w:pos="2231"/>
        </w:tabs>
        <w:ind w:left="2231" w:hanging="697"/>
        <w:rPr>
          <w:sz w:val="24"/>
          <w:lang w:val="fr-FR"/>
        </w:rPr>
      </w:pPr>
      <w:r w:rsidRPr="00E816B5">
        <w:rPr>
          <w:sz w:val="24"/>
          <w:lang w:val="fr-FR"/>
        </w:rPr>
        <w:t>En dehors de la FIV, même en l'absence d'</w:t>
      </w:r>
      <w:r w:rsidRPr="00E816B5">
        <w:rPr>
          <w:spacing w:val="-2"/>
          <w:sz w:val="24"/>
          <w:lang w:val="fr-FR"/>
        </w:rPr>
        <w:t xml:space="preserve">indication </w:t>
      </w:r>
      <w:r w:rsidRPr="00E816B5">
        <w:rPr>
          <w:sz w:val="24"/>
          <w:lang w:val="fr-FR"/>
        </w:rPr>
        <w:t>médicale :</w:t>
      </w:r>
    </w:p>
    <w:p w:rsidR="00746F9E" w:rsidRPr="00E816B5" w:rsidRDefault="008372B3">
      <w:pPr>
        <w:pStyle w:val="BodyText"/>
        <w:ind w:left="116" w:right="152"/>
        <w:jc w:val="both"/>
        <w:rPr>
          <w:lang w:val="fr-FR"/>
        </w:rPr>
      </w:pPr>
      <w:r w:rsidRPr="00E816B5">
        <w:rPr>
          <w:lang w:val="fr-FR"/>
        </w:rPr>
        <w:t>le prélèvement de spermatocytes, y compris les frais d'analyses et de tests, et la conservation à long terme de spermatocytes sélectionnés dans la limite d'un plafond correspondant aux interventions chirurgicales de la catégorie B1 ;</w:t>
      </w:r>
    </w:p>
    <w:p w:rsidR="00746F9E" w:rsidRPr="00E816B5" w:rsidRDefault="008372B3">
      <w:pPr>
        <w:pStyle w:val="BodyText"/>
        <w:ind w:left="116" w:right="152"/>
        <w:jc w:val="both"/>
        <w:rPr>
          <w:lang w:val="fr-FR"/>
        </w:rPr>
      </w:pPr>
      <w:r w:rsidRPr="00E816B5">
        <w:rPr>
          <w:lang w:val="fr-FR"/>
        </w:rPr>
        <w:t>la stimulation et le p</w:t>
      </w:r>
      <w:r w:rsidRPr="00E816B5">
        <w:rPr>
          <w:lang w:val="fr-FR"/>
        </w:rPr>
        <w:t>rélèvement d'ovocytes, y compris les frais d'analyses et de tests, et la conservation à long terme d'ovocytes sélectionnés dans la limite d'un plafond correspondant aux interventions chirurgicales de la catégorie B1. Le remboursement est soumis à la condit</w:t>
      </w:r>
      <w:r w:rsidRPr="00E816B5">
        <w:rPr>
          <w:lang w:val="fr-FR"/>
        </w:rPr>
        <w:t>ion que la collecte ait lieu avant le 36e anniversaire.</w:t>
      </w:r>
    </w:p>
    <w:p w:rsidR="00746F9E" w:rsidRPr="00E816B5" w:rsidRDefault="008372B3">
      <w:pPr>
        <w:pStyle w:val="ListParagraph"/>
        <w:numPr>
          <w:ilvl w:val="2"/>
          <w:numId w:val="2"/>
        </w:numPr>
        <w:tabs>
          <w:tab w:val="left" w:pos="2229"/>
          <w:tab w:val="left" w:pos="2231"/>
        </w:tabs>
        <w:spacing w:before="121"/>
        <w:ind w:left="2231" w:right="155" w:hanging="697"/>
        <w:jc w:val="both"/>
        <w:rPr>
          <w:sz w:val="24"/>
          <w:lang w:val="fr-FR"/>
        </w:rPr>
      </w:pPr>
      <w:r w:rsidRPr="00E816B5">
        <w:rPr>
          <w:sz w:val="24"/>
          <w:lang w:val="fr-FR"/>
        </w:rPr>
        <w:t>En cas de maladie avérée ou d'anomalie génétique identifiée chez un membre de la famille apparenté à l'un des parents potentiels au premier ou au deuxième degré, les coûts remboursables peuvent couvri</w:t>
      </w:r>
      <w:r w:rsidRPr="00E816B5">
        <w:rPr>
          <w:sz w:val="24"/>
          <w:lang w:val="fr-FR"/>
        </w:rPr>
        <w:t xml:space="preserve">r les </w:t>
      </w:r>
      <w:r w:rsidRPr="00E816B5">
        <w:rPr>
          <w:spacing w:val="-2"/>
          <w:sz w:val="24"/>
          <w:lang w:val="fr-FR"/>
        </w:rPr>
        <w:t xml:space="preserve">interventions </w:t>
      </w:r>
      <w:r w:rsidRPr="00E816B5">
        <w:rPr>
          <w:sz w:val="24"/>
          <w:lang w:val="fr-FR"/>
        </w:rPr>
        <w:t>supplémentaires suivantes :</w:t>
      </w:r>
    </w:p>
    <w:p w:rsidR="00746F9E" w:rsidRPr="00E816B5" w:rsidRDefault="008372B3">
      <w:pPr>
        <w:pStyle w:val="ListParagraph"/>
        <w:numPr>
          <w:ilvl w:val="0"/>
          <w:numId w:val="1"/>
        </w:numPr>
        <w:tabs>
          <w:tab w:val="left" w:pos="3717"/>
        </w:tabs>
        <w:ind w:right="155"/>
        <w:jc w:val="both"/>
        <w:rPr>
          <w:sz w:val="24"/>
          <w:lang w:val="fr-FR"/>
        </w:rPr>
      </w:pPr>
      <w:r w:rsidRPr="00E816B5">
        <w:rPr>
          <w:sz w:val="24"/>
          <w:lang w:val="fr-FR"/>
        </w:rPr>
        <w:t xml:space="preserve">Examens génétiques préconceptionnels des ovocytes et des </w:t>
      </w:r>
      <w:r w:rsidRPr="00E816B5">
        <w:rPr>
          <w:spacing w:val="-2"/>
          <w:sz w:val="24"/>
          <w:lang w:val="fr-FR"/>
        </w:rPr>
        <w:t>spermatocytes ;</w:t>
      </w:r>
    </w:p>
    <w:p w:rsidR="00746F9E" w:rsidRPr="00E816B5" w:rsidRDefault="008372B3">
      <w:pPr>
        <w:pStyle w:val="ListParagraph"/>
        <w:numPr>
          <w:ilvl w:val="0"/>
          <w:numId w:val="1"/>
        </w:numPr>
        <w:tabs>
          <w:tab w:val="left" w:pos="3715"/>
        </w:tabs>
        <w:ind w:left="3715" w:hanging="757"/>
        <w:jc w:val="both"/>
        <w:rPr>
          <w:sz w:val="24"/>
          <w:lang w:val="fr-FR"/>
        </w:rPr>
      </w:pPr>
      <w:r w:rsidRPr="00E816B5">
        <w:rPr>
          <w:sz w:val="24"/>
          <w:lang w:val="fr-FR"/>
        </w:rPr>
        <w:t xml:space="preserve">Diagnostic génétique préimplantatoire sur les </w:t>
      </w:r>
      <w:r w:rsidRPr="00E816B5">
        <w:rPr>
          <w:spacing w:val="-2"/>
          <w:sz w:val="24"/>
          <w:lang w:val="fr-FR"/>
        </w:rPr>
        <w:t>embryons.</w:t>
      </w:r>
    </w:p>
    <w:p w:rsidR="00746F9E" w:rsidRPr="00E816B5" w:rsidRDefault="008372B3">
      <w:pPr>
        <w:pStyle w:val="ListParagraph"/>
        <w:numPr>
          <w:ilvl w:val="2"/>
          <w:numId w:val="2"/>
        </w:numPr>
        <w:tabs>
          <w:tab w:val="left" w:pos="2229"/>
          <w:tab w:val="left" w:pos="2231"/>
        </w:tabs>
        <w:ind w:left="2231" w:right="150" w:hanging="697"/>
        <w:jc w:val="both"/>
        <w:rPr>
          <w:sz w:val="24"/>
          <w:lang w:val="fr-FR"/>
        </w:rPr>
      </w:pPr>
      <w:r w:rsidRPr="00E816B5">
        <w:rPr>
          <w:sz w:val="24"/>
          <w:lang w:val="fr-FR"/>
        </w:rPr>
        <w:t>Les traitements visés au point 3.3 qui remplissent les conditions de remboursem</w:t>
      </w:r>
      <w:r w:rsidRPr="00E816B5">
        <w:rPr>
          <w:sz w:val="24"/>
          <w:lang w:val="fr-FR"/>
        </w:rPr>
        <w:t>ent et dont la facture reste dans la période de remboursement à la date d'entrée en vigueur de la présente décision sont éligibles au remboursement.</w:t>
      </w:r>
    </w:p>
    <w:p w:rsidR="00746F9E" w:rsidRPr="00E816B5" w:rsidRDefault="008372B3">
      <w:pPr>
        <w:pStyle w:val="ListParagraph"/>
        <w:numPr>
          <w:ilvl w:val="1"/>
          <w:numId w:val="2"/>
        </w:numPr>
        <w:tabs>
          <w:tab w:val="left" w:pos="1390"/>
        </w:tabs>
        <w:spacing w:before="121"/>
        <w:ind w:left="1390" w:right="155" w:hanging="567"/>
        <w:jc w:val="both"/>
        <w:rPr>
          <w:sz w:val="24"/>
          <w:lang w:val="fr-FR"/>
        </w:rPr>
      </w:pPr>
      <w:r w:rsidRPr="00E816B5">
        <w:rPr>
          <w:sz w:val="24"/>
          <w:lang w:val="fr-FR"/>
        </w:rPr>
        <w:t>Les traitements médicaux liés à la fertilité et à la reproduction qui ne sont pas mentionnés dans le présen</w:t>
      </w:r>
      <w:r w:rsidRPr="00E816B5">
        <w:rPr>
          <w:sz w:val="24"/>
          <w:lang w:val="fr-FR"/>
        </w:rPr>
        <w:t>t chapitre peuvent faire l'objet d'un remboursement exceptionnel sur demande d'</w:t>
      </w:r>
      <w:r w:rsidRPr="00E816B5">
        <w:rPr>
          <w:spacing w:val="-2"/>
          <w:sz w:val="24"/>
          <w:lang w:val="fr-FR"/>
        </w:rPr>
        <w:t xml:space="preserve">autorisation </w:t>
      </w:r>
      <w:r w:rsidRPr="00E816B5">
        <w:rPr>
          <w:sz w:val="24"/>
          <w:lang w:val="fr-FR"/>
        </w:rPr>
        <w:t>préalable.</w:t>
      </w:r>
    </w:p>
    <w:p w:rsidR="00746F9E" w:rsidRPr="00E816B5" w:rsidRDefault="008372B3">
      <w:pPr>
        <w:pStyle w:val="ListParagraph"/>
        <w:numPr>
          <w:ilvl w:val="1"/>
          <w:numId w:val="2"/>
        </w:numPr>
        <w:tabs>
          <w:tab w:val="left" w:pos="1390"/>
        </w:tabs>
        <w:ind w:left="1390" w:right="155" w:hanging="567"/>
        <w:jc w:val="both"/>
        <w:rPr>
          <w:sz w:val="24"/>
          <w:lang w:val="fr-FR"/>
        </w:rPr>
      </w:pPr>
      <w:r w:rsidRPr="00E816B5">
        <w:rPr>
          <w:sz w:val="24"/>
          <w:lang w:val="fr-FR"/>
        </w:rPr>
        <w:t>Les traitements médicaux liés à la fertilité et à la reproduction ne sont pas remboursés au titre du RCAM au-delà de l'âge de 48 ans.</w:t>
      </w:r>
    </w:p>
    <w:p w:rsidR="00746F9E" w:rsidRPr="00E816B5" w:rsidRDefault="008372B3">
      <w:pPr>
        <w:pStyle w:val="ListParagraph"/>
        <w:numPr>
          <w:ilvl w:val="1"/>
          <w:numId w:val="2"/>
        </w:numPr>
        <w:tabs>
          <w:tab w:val="left" w:pos="1390"/>
        </w:tabs>
        <w:ind w:left="1390" w:right="150" w:hanging="567"/>
        <w:jc w:val="both"/>
        <w:rPr>
          <w:sz w:val="24"/>
          <w:lang w:val="fr-FR"/>
        </w:rPr>
      </w:pPr>
      <w:r w:rsidRPr="00E816B5">
        <w:rPr>
          <w:sz w:val="24"/>
          <w:lang w:val="fr-FR"/>
        </w:rPr>
        <w:t>Lorsque les bénéficiaires sont couverts par un autre régime d'assurance maladie prévu par la loi ou le règlement, ils doivent d'abord demander le remboursement au titre de ce régime avant d'introduire une demande de remboursement au titre du RCAM. Les (par</w:t>
      </w:r>
      <w:r w:rsidRPr="00E816B5">
        <w:rPr>
          <w:sz w:val="24"/>
          <w:lang w:val="fr-FR"/>
        </w:rPr>
        <w:t>ties des) traitements et services liés à la fertilité et à la procréation médicalement assistée qui concernent un futur parent qui n'est pas un bénéficiaire du RCAM en couverture primaire ou complémentaire, ne sont pas remboursés au titre du RCAM.</w:t>
      </w:r>
    </w:p>
    <w:p w:rsidR="00746F9E" w:rsidRPr="00E816B5" w:rsidRDefault="008372B3">
      <w:pPr>
        <w:pStyle w:val="ListParagraph"/>
        <w:numPr>
          <w:ilvl w:val="1"/>
          <w:numId w:val="3"/>
        </w:numPr>
        <w:tabs>
          <w:tab w:val="left" w:pos="964"/>
        </w:tabs>
        <w:ind w:left="964" w:hanging="848"/>
        <w:jc w:val="both"/>
        <w:rPr>
          <w:sz w:val="24"/>
          <w:lang w:val="fr-FR"/>
        </w:rPr>
      </w:pPr>
      <w:r w:rsidRPr="00E816B5">
        <w:rPr>
          <w:sz w:val="24"/>
          <w:lang w:val="fr-FR"/>
        </w:rPr>
        <w:t>Au titre</w:t>
      </w:r>
      <w:r w:rsidRPr="00E816B5">
        <w:rPr>
          <w:sz w:val="24"/>
          <w:lang w:val="fr-FR"/>
        </w:rPr>
        <w:t xml:space="preserve"> II, chapitre 1, point 2.1, les deux premières lignes sont remplacées par le </w:t>
      </w:r>
      <w:r w:rsidRPr="00E816B5">
        <w:rPr>
          <w:spacing w:val="-2"/>
          <w:sz w:val="24"/>
          <w:lang w:val="fr-FR"/>
        </w:rPr>
        <w:t>texte suivant :</w:t>
      </w:r>
    </w:p>
    <w:p w:rsidR="00746F9E" w:rsidRPr="00E816B5" w:rsidRDefault="00746F9E">
      <w:pPr>
        <w:jc w:val="both"/>
        <w:rPr>
          <w:sz w:val="24"/>
          <w:lang w:val="fr-FR"/>
        </w:rPr>
        <w:sectPr w:rsidR="00746F9E" w:rsidRPr="00E816B5">
          <w:pgSz w:w="11910" w:h="16840"/>
          <w:pgMar w:top="1040" w:right="1260" w:bottom="1240" w:left="1300" w:header="0" w:footer="1041" w:gutter="0"/>
          <w:cols w:space="720"/>
        </w:sectPr>
      </w:pPr>
    </w:p>
    <w:p w:rsidR="00746F9E" w:rsidRPr="00E816B5" w:rsidRDefault="008372B3">
      <w:pPr>
        <w:pStyle w:val="ListParagraph"/>
        <w:numPr>
          <w:ilvl w:val="2"/>
          <w:numId w:val="3"/>
        </w:numPr>
        <w:tabs>
          <w:tab w:val="left" w:pos="1530"/>
          <w:tab w:val="left" w:pos="1532"/>
        </w:tabs>
        <w:spacing w:before="90" w:line="235" w:lineRule="auto"/>
        <w:ind w:right="156"/>
        <w:rPr>
          <w:i/>
          <w:sz w:val="24"/>
          <w:lang w:val="fr-FR"/>
        </w:rPr>
      </w:pPr>
      <w:r w:rsidRPr="00E816B5">
        <w:rPr>
          <w:i/>
          <w:sz w:val="24"/>
          <w:lang w:val="fr-FR"/>
        </w:rPr>
        <w:t>"Les frais de consultation d'un médecin généraliste sont remboursés à 85 %, avec un plafond de 42 €, et à 100 % en cas de maladie grave.</w:t>
      </w:r>
    </w:p>
    <w:p w:rsidR="00746F9E" w:rsidRPr="00E816B5" w:rsidRDefault="008372B3">
      <w:pPr>
        <w:pStyle w:val="ListParagraph"/>
        <w:numPr>
          <w:ilvl w:val="2"/>
          <w:numId w:val="3"/>
        </w:numPr>
        <w:tabs>
          <w:tab w:val="left" w:pos="1530"/>
          <w:tab w:val="left" w:pos="1532"/>
        </w:tabs>
        <w:spacing w:before="140" w:line="235" w:lineRule="auto"/>
        <w:ind w:right="155"/>
        <w:rPr>
          <w:i/>
          <w:sz w:val="24"/>
          <w:lang w:val="fr-FR"/>
        </w:rPr>
      </w:pPr>
      <w:r w:rsidRPr="00E816B5">
        <w:rPr>
          <w:i/>
          <w:sz w:val="24"/>
          <w:lang w:val="fr-FR"/>
        </w:rPr>
        <w:t>Les frai</w:t>
      </w:r>
      <w:r w:rsidRPr="00E816B5">
        <w:rPr>
          <w:i/>
          <w:sz w:val="24"/>
          <w:lang w:val="fr-FR"/>
        </w:rPr>
        <w:t xml:space="preserve">s de consultation/visite d'un spécialiste sont remboursés au taux de 85 %, avec un plafond de 64 €, et au taux de 100 % en cas de </w:t>
      </w:r>
      <w:r w:rsidRPr="00E816B5">
        <w:rPr>
          <w:i/>
          <w:spacing w:val="-2"/>
          <w:sz w:val="24"/>
          <w:lang w:val="fr-FR"/>
        </w:rPr>
        <w:t xml:space="preserve">maladie </w:t>
      </w:r>
      <w:r w:rsidRPr="00E816B5">
        <w:rPr>
          <w:i/>
          <w:sz w:val="24"/>
          <w:lang w:val="fr-FR"/>
        </w:rPr>
        <w:t>grave</w:t>
      </w:r>
      <w:r w:rsidRPr="00E816B5">
        <w:rPr>
          <w:i/>
          <w:spacing w:val="-2"/>
          <w:sz w:val="24"/>
          <w:lang w:val="fr-FR"/>
        </w:rPr>
        <w:t>".</w:t>
      </w:r>
    </w:p>
    <w:p w:rsidR="00746F9E" w:rsidRPr="00E816B5" w:rsidRDefault="008372B3">
      <w:pPr>
        <w:pStyle w:val="ListParagraph"/>
        <w:numPr>
          <w:ilvl w:val="1"/>
          <w:numId w:val="3"/>
        </w:numPr>
        <w:tabs>
          <w:tab w:val="left" w:pos="964"/>
          <w:tab w:val="left" w:pos="966"/>
        </w:tabs>
        <w:ind w:right="156"/>
        <w:jc w:val="both"/>
        <w:rPr>
          <w:sz w:val="24"/>
          <w:lang w:val="fr-FR"/>
        </w:rPr>
      </w:pPr>
      <w:r w:rsidRPr="00E816B5">
        <w:rPr>
          <w:sz w:val="24"/>
          <w:lang w:val="fr-FR"/>
        </w:rPr>
        <w:t>Au titre II, chapitre 5, point 2.5, dans le tableau contenant les types de traitement et leurs plafonds respectifs (€), les trois premières lignes de la catégorie "1. a) Prothèses fixes" sont remplacées par le texte suivant :</w:t>
      </w:r>
    </w:p>
    <w:p w:rsidR="00746F9E" w:rsidRPr="00E816B5" w:rsidRDefault="00746F9E">
      <w:pPr>
        <w:pStyle w:val="BodyText"/>
        <w:spacing w:before="0"/>
        <w:rPr>
          <w:sz w:val="20"/>
          <w:lang w:val="fr-FR"/>
        </w:rPr>
      </w:pPr>
    </w:p>
    <w:p w:rsidR="00746F9E" w:rsidRPr="00E816B5" w:rsidRDefault="00746F9E">
      <w:pPr>
        <w:pStyle w:val="BodyText"/>
        <w:spacing w:before="0"/>
        <w:rPr>
          <w:sz w:val="20"/>
          <w:lang w:val="fr-FR"/>
        </w:rPr>
      </w:pPr>
    </w:p>
    <w:p w:rsidR="00746F9E" w:rsidRPr="00E816B5" w:rsidRDefault="00746F9E">
      <w:pPr>
        <w:pStyle w:val="BodyText"/>
        <w:spacing w:before="0"/>
        <w:rPr>
          <w:sz w:val="20"/>
          <w:lang w:val="fr-FR"/>
        </w:rPr>
      </w:pPr>
    </w:p>
    <w:p w:rsidR="00746F9E" w:rsidRPr="00E816B5" w:rsidRDefault="00746F9E">
      <w:pPr>
        <w:pStyle w:val="BodyText"/>
        <w:spacing w:before="206" w:after="1"/>
        <w:rPr>
          <w:sz w:val="20"/>
          <w:lang w:val="fr-FR"/>
        </w:rPr>
      </w:pPr>
    </w:p>
    <w:tbl>
      <w:tblPr>
        <w:tblW w:w="0" w:type="auto"/>
        <w:tblInd w:w="1062" w:type="dxa"/>
        <w:tblLayout w:type="fixed"/>
        <w:tblCellMar>
          <w:left w:w="0" w:type="dxa"/>
          <w:right w:w="0" w:type="dxa"/>
        </w:tblCellMar>
        <w:tblLook w:val="01E0" w:firstRow="1" w:lastRow="1" w:firstColumn="1" w:lastColumn="1" w:noHBand="0" w:noVBand="0"/>
      </w:tblPr>
      <w:tblGrid>
        <w:gridCol w:w="6793"/>
        <w:gridCol w:w="956"/>
      </w:tblGrid>
      <w:tr w:rsidR="00746F9E">
        <w:trPr>
          <w:trHeight w:val="390"/>
        </w:trPr>
        <w:tc>
          <w:tcPr>
            <w:tcW w:w="6793" w:type="dxa"/>
          </w:tcPr>
          <w:p w:rsidR="00746F9E" w:rsidRPr="00E816B5" w:rsidRDefault="008372B3">
            <w:pPr>
              <w:pStyle w:val="TableParagraph"/>
              <w:spacing w:before="0" w:line="266" w:lineRule="exact"/>
              <w:ind w:left="50"/>
              <w:rPr>
                <w:i/>
                <w:sz w:val="24"/>
                <w:lang w:val="fr-FR"/>
              </w:rPr>
            </w:pPr>
            <w:r w:rsidRPr="00E816B5">
              <w:rPr>
                <w:i/>
                <w:sz w:val="24"/>
                <w:lang w:val="fr-FR"/>
              </w:rPr>
              <w:t xml:space="preserve">"Incrustation en or ou en </w:t>
            </w:r>
            <w:r w:rsidRPr="00E816B5">
              <w:rPr>
                <w:i/>
                <w:sz w:val="24"/>
                <w:lang w:val="fr-FR"/>
              </w:rPr>
              <w:t xml:space="preserve">céramique, </w:t>
            </w:r>
            <w:r w:rsidRPr="00E816B5">
              <w:rPr>
                <w:i/>
                <w:spacing w:val="-4"/>
                <w:sz w:val="24"/>
                <w:lang w:val="fr-FR"/>
              </w:rPr>
              <w:t>noyau d'</w:t>
            </w:r>
            <w:r w:rsidRPr="00E816B5">
              <w:rPr>
                <w:i/>
                <w:sz w:val="24"/>
                <w:lang w:val="fr-FR"/>
              </w:rPr>
              <w:t>incrustation</w:t>
            </w:r>
          </w:p>
        </w:tc>
        <w:tc>
          <w:tcPr>
            <w:tcW w:w="956" w:type="dxa"/>
          </w:tcPr>
          <w:p w:rsidR="00746F9E" w:rsidRDefault="008372B3">
            <w:pPr>
              <w:pStyle w:val="TableParagraph"/>
              <w:spacing w:before="0" w:line="266" w:lineRule="exact"/>
              <w:ind w:right="113"/>
              <w:jc w:val="right"/>
              <w:rPr>
                <w:i/>
                <w:sz w:val="24"/>
              </w:rPr>
            </w:pPr>
            <w:r>
              <w:rPr>
                <w:i/>
                <w:spacing w:val="-5"/>
                <w:sz w:val="24"/>
              </w:rPr>
              <w:t>350</w:t>
            </w:r>
          </w:p>
        </w:tc>
      </w:tr>
      <w:tr w:rsidR="00746F9E">
        <w:trPr>
          <w:trHeight w:val="792"/>
        </w:trPr>
        <w:tc>
          <w:tcPr>
            <w:tcW w:w="6793" w:type="dxa"/>
          </w:tcPr>
          <w:p w:rsidR="00746F9E" w:rsidRPr="00E816B5" w:rsidRDefault="008372B3">
            <w:pPr>
              <w:pStyle w:val="TableParagraph"/>
              <w:spacing w:before="115"/>
              <w:ind w:left="702" w:hanging="653"/>
              <w:rPr>
                <w:i/>
                <w:sz w:val="24"/>
                <w:lang w:val="fr-FR"/>
              </w:rPr>
            </w:pPr>
            <w:r w:rsidRPr="00E816B5">
              <w:rPr>
                <w:i/>
                <w:sz w:val="24"/>
                <w:lang w:val="fr-FR"/>
              </w:rPr>
              <w:t xml:space="preserve">Couronne coulée, </w:t>
            </w:r>
            <w:r w:rsidRPr="00E816B5">
              <w:rPr>
                <w:i/>
                <w:spacing w:val="-6"/>
                <w:sz w:val="24"/>
                <w:lang w:val="fr-FR"/>
              </w:rPr>
              <w:t xml:space="preserve">couronne </w:t>
            </w:r>
            <w:r w:rsidRPr="00E816B5">
              <w:rPr>
                <w:i/>
                <w:sz w:val="24"/>
                <w:lang w:val="fr-FR"/>
              </w:rPr>
              <w:t>télescopique, couronne ou élément céramo-métallique, facette en céramique</w:t>
            </w:r>
          </w:p>
        </w:tc>
        <w:tc>
          <w:tcPr>
            <w:tcW w:w="956" w:type="dxa"/>
          </w:tcPr>
          <w:p w:rsidR="00746F9E" w:rsidRPr="00E816B5" w:rsidRDefault="00746F9E">
            <w:pPr>
              <w:pStyle w:val="TableParagraph"/>
              <w:spacing w:before="114"/>
              <w:rPr>
                <w:sz w:val="24"/>
                <w:lang w:val="fr-FR"/>
              </w:rPr>
            </w:pPr>
          </w:p>
          <w:p w:rsidR="00746F9E" w:rsidRDefault="008372B3">
            <w:pPr>
              <w:pStyle w:val="TableParagraph"/>
              <w:spacing w:before="1"/>
              <w:ind w:right="113"/>
              <w:jc w:val="right"/>
              <w:rPr>
                <w:i/>
                <w:sz w:val="24"/>
              </w:rPr>
            </w:pPr>
            <w:r>
              <w:rPr>
                <w:i/>
                <w:spacing w:val="-5"/>
                <w:sz w:val="24"/>
              </w:rPr>
              <w:t>350</w:t>
            </w:r>
          </w:p>
        </w:tc>
      </w:tr>
      <w:tr w:rsidR="00746F9E">
        <w:trPr>
          <w:trHeight w:val="390"/>
        </w:trPr>
        <w:tc>
          <w:tcPr>
            <w:tcW w:w="6793" w:type="dxa"/>
          </w:tcPr>
          <w:p w:rsidR="00746F9E" w:rsidRPr="00E816B5" w:rsidRDefault="008372B3">
            <w:pPr>
              <w:pStyle w:val="TableParagraph"/>
              <w:spacing w:before="115" w:line="256" w:lineRule="exact"/>
              <w:ind w:left="50"/>
              <w:rPr>
                <w:i/>
                <w:sz w:val="24"/>
                <w:lang w:val="fr-FR"/>
              </w:rPr>
            </w:pPr>
            <w:r w:rsidRPr="00E816B5">
              <w:rPr>
                <w:i/>
                <w:sz w:val="24"/>
                <w:lang w:val="fr-FR"/>
              </w:rPr>
              <w:t xml:space="preserve">Attachement (Dolder bar : par </w:t>
            </w:r>
            <w:r w:rsidRPr="00E816B5">
              <w:rPr>
                <w:i/>
                <w:spacing w:val="-2"/>
                <w:sz w:val="24"/>
                <w:lang w:val="fr-FR"/>
              </w:rPr>
              <w:t>pilier)</w:t>
            </w:r>
          </w:p>
        </w:tc>
        <w:tc>
          <w:tcPr>
            <w:tcW w:w="956" w:type="dxa"/>
          </w:tcPr>
          <w:p w:rsidR="00746F9E" w:rsidRDefault="008372B3">
            <w:pPr>
              <w:pStyle w:val="TableParagraph"/>
              <w:spacing w:before="115" w:line="256" w:lineRule="exact"/>
              <w:ind w:right="47"/>
              <w:jc w:val="right"/>
              <w:rPr>
                <w:i/>
                <w:sz w:val="24"/>
              </w:rPr>
            </w:pPr>
            <w:r>
              <w:rPr>
                <w:i/>
                <w:spacing w:val="-4"/>
                <w:sz w:val="24"/>
              </w:rPr>
              <w:t>350"</w:t>
            </w:r>
          </w:p>
        </w:tc>
      </w:tr>
    </w:tbl>
    <w:p w:rsidR="00746F9E" w:rsidRDefault="00746F9E">
      <w:pPr>
        <w:pStyle w:val="BodyText"/>
        <w:spacing w:before="205"/>
      </w:pPr>
    </w:p>
    <w:p w:rsidR="00746F9E" w:rsidRPr="00E816B5" w:rsidRDefault="008372B3">
      <w:pPr>
        <w:pStyle w:val="ListParagraph"/>
        <w:numPr>
          <w:ilvl w:val="1"/>
          <w:numId w:val="3"/>
        </w:numPr>
        <w:tabs>
          <w:tab w:val="left" w:pos="836"/>
        </w:tabs>
        <w:spacing w:before="1"/>
        <w:ind w:left="836" w:hanging="720"/>
        <w:rPr>
          <w:sz w:val="24"/>
          <w:lang w:val="fr-FR"/>
        </w:rPr>
      </w:pPr>
      <w:r w:rsidRPr="00E816B5">
        <w:rPr>
          <w:sz w:val="24"/>
          <w:lang w:val="fr-FR"/>
        </w:rPr>
        <w:t xml:space="preserve">Au titre II, chapitre 11, le point 2.1 est remplacé par le </w:t>
      </w:r>
      <w:r w:rsidRPr="00E816B5">
        <w:rPr>
          <w:spacing w:val="-2"/>
          <w:sz w:val="24"/>
          <w:lang w:val="fr-FR"/>
        </w:rPr>
        <w:t>texte suivant :</w:t>
      </w:r>
    </w:p>
    <w:p w:rsidR="00746F9E" w:rsidRPr="00E816B5" w:rsidRDefault="00746F9E">
      <w:pPr>
        <w:pStyle w:val="BodyText"/>
        <w:spacing w:before="83"/>
        <w:rPr>
          <w:lang w:val="fr-FR"/>
        </w:rPr>
      </w:pPr>
    </w:p>
    <w:p w:rsidR="00746F9E" w:rsidRPr="00E816B5" w:rsidRDefault="008372B3">
      <w:pPr>
        <w:spacing w:before="1"/>
        <w:ind w:left="1532" w:right="153" w:hanging="708"/>
        <w:jc w:val="both"/>
        <w:rPr>
          <w:sz w:val="24"/>
          <w:lang w:val="fr-FR"/>
        </w:rPr>
      </w:pPr>
      <w:r w:rsidRPr="00E816B5">
        <w:rPr>
          <w:sz w:val="24"/>
          <w:lang w:val="fr-FR"/>
        </w:rPr>
        <w:t>"</w:t>
      </w:r>
      <w:r w:rsidRPr="00E816B5">
        <w:rPr>
          <w:i/>
          <w:sz w:val="24"/>
          <w:lang w:val="fr-FR"/>
        </w:rPr>
        <w:t>2.1. Les frais d'achat et de réparation des appareils auditifs prescrits par un oto-rhino-laryngologiste ou un audiométriste sont remboursés au taux de 85 %, avec un plafond de 1800 € par appareil auditif.</w:t>
      </w:r>
      <w:r w:rsidRPr="00E816B5">
        <w:rPr>
          <w:sz w:val="24"/>
          <w:lang w:val="fr-FR"/>
        </w:rPr>
        <w:t>"</w:t>
      </w:r>
    </w:p>
    <w:p w:rsidR="00746F9E" w:rsidRPr="00E816B5" w:rsidRDefault="00746F9E">
      <w:pPr>
        <w:pStyle w:val="BodyText"/>
        <w:spacing w:before="84"/>
        <w:rPr>
          <w:lang w:val="fr-FR"/>
        </w:rPr>
      </w:pPr>
    </w:p>
    <w:p w:rsidR="00746F9E" w:rsidRPr="00E816B5" w:rsidRDefault="008372B3">
      <w:pPr>
        <w:pStyle w:val="ListParagraph"/>
        <w:numPr>
          <w:ilvl w:val="1"/>
          <w:numId w:val="3"/>
        </w:numPr>
        <w:tabs>
          <w:tab w:val="left" w:pos="836"/>
        </w:tabs>
        <w:spacing w:before="0"/>
        <w:ind w:left="836" w:hanging="720"/>
        <w:rPr>
          <w:sz w:val="24"/>
          <w:lang w:val="fr-FR"/>
        </w:rPr>
      </w:pPr>
      <w:r w:rsidRPr="00E816B5">
        <w:rPr>
          <w:sz w:val="24"/>
          <w:lang w:val="fr-FR"/>
        </w:rPr>
        <w:t xml:space="preserve">À l'annexe II du titre II, la </w:t>
      </w:r>
      <w:r w:rsidRPr="00E816B5">
        <w:rPr>
          <w:sz w:val="24"/>
          <w:lang w:val="fr-FR"/>
        </w:rPr>
        <w:t xml:space="preserve">ligne 15 est remplacée par le </w:t>
      </w:r>
      <w:r w:rsidRPr="00E816B5">
        <w:rPr>
          <w:spacing w:val="-2"/>
          <w:sz w:val="24"/>
          <w:lang w:val="fr-FR"/>
        </w:rPr>
        <w:t>texte suivant :</w:t>
      </w:r>
    </w:p>
    <w:p w:rsidR="00746F9E" w:rsidRPr="00E816B5" w:rsidRDefault="00746F9E">
      <w:pPr>
        <w:pStyle w:val="BodyText"/>
        <w:spacing w:before="131"/>
        <w:rPr>
          <w:sz w:val="20"/>
          <w:lang w:val="fr-FR"/>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2060"/>
        <w:gridCol w:w="562"/>
        <w:gridCol w:w="867"/>
        <w:gridCol w:w="1049"/>
        <w:gridCol w:w="925"/>
        <w:gridCol w:w="852"/>
        <w:gridCol w:w="854"/>
        <w:gridCol w:w="598"/>
      </w:tblGrid>
      <w:tr w:rsidR="00746F9E">
        <w:trPr>
          <w:trHeight w:val="791"/>
        </w:trPr>
        <w:tc>
          <w:tcPr>
            <w:tcW w:w="749" w:type="dxa"/>
          </w:tcPr>
          <w:p w:rsidR="00746F9E" w:rsidRDefault="008372B3">
            <w:pPr>
              <w:pStyle w:val="TableParagraph"/>
              <w:ind w:left="110"/>
              <w:rPr>
                <w:i/>
                <w:sz w:val="24"/>
              </w:rPr>
            </w:pPr>
            <w:r>
              <w:rPr>
                <w:i/>
                <w:spacing w:val="-5"/>
                <w:sz w:val="24"/>
              </w:rPr>
              <w:t>15</w:t>
            </w:r>
          </w:p>
        </w:tc>
        <w:tc>
          <w:tcPr>
            <w:tcW w:w="2060" w:type="dxa"/>
          </w:tcPr>
          <w:p w:rsidR="00746F9E" w:rsidRDefault="008372B3">
            <w:pPr>
              <w:pStyle w:val="TableParagraph"/>
              <w:spacing w:before="119"/>
              <w:ind w:left="107" w:right="703"/>
              <w:rPr>
                <w:i/>
                <w:sz w:val="24"/>
              </w:rPr>
            </w:pPr>
            <w:r>
              <w:rPr>
                <w:i/>
                <w:spacing w:val="-2"/>
                <w:sz w:val="24"/>
              </w:rPr>
              <w:t>Produits d'incontinence</w:t>
            </w:r>
          </w:p>
        </w:tc>
        <w:tc>
          <w:tcPr>
            <w:tcW w:w="562" w:type="dxa"/>
          </w:tcPr>
          <w:p w:rsidR="00746F9E" w:rsidRDefault="008372B3">
            <w:pPr>
              <w:pStyle w:val="TableParagraph"/>
              <w:ind w:left="107"/>
              <w:rPr>
                <w:i/>
                <w:sz w:val="24"/>
              </w:rPr>
            </w:pPr>
            <w:r>
              <w:rPr>
                <w:i/>
                <w:spacing w:val="-5"/>
                <w:sz w:val="24"/>
              </w:rPr>
              <w:t>MP</w:t>
            </w:r>
          </w:p>
        </w:tc>
        <w:tc>
          <w:tcPr>
            <w:tcW w:w="867" w:type="dxa"/>
          </w:tcPr>
          <w:p w:rsidR="00746F9E" w:rsidRDefault="008372B3">
            <w:pPr>
              <w:pStyle w:val="TableParagraph"/>
              <w:ind w:left="109"/>
              <w:rPr>
                <w:i/>
                <w:sz w:val="24"/>
              </w:rPr>
            </w:pPr>
            <w:r>
              <w:rPr>
                <w:i/>
                <w:spacing w:val="-5"/>
                <w:sz w:val="24"/>
              </w:rPr>
              <w:t>PA</w:t>
            </w:r>
          </w:p>
        </w:tc>
        <w:tc>
          <w:tcPr>
            <w:tcW w:w="1049" w:type="dxa"/>
          </w:tcPr>
          <w:p w:rsidR="00746F9E" w:rsidRDefault="008372B3">
            <w:pPr>
              <w:pStyle w:val="TableParagraph"/>
              <w:ind w:left="106"/>
              <w:rPr>
                <w:i/>
                <w:sz w:val="24"/>
              </w:rPr>
            </w:pPr>
            <w:r>
              <w:rPr>
                <w:i/>
                <w:sz w:val="24"/>
              </w:rPr>
              <w:t xml:space="preserve">1 </w:t>
            </w:r>
            <w:r>
              <w:rPr>
                <w:i/>
                <w:spacing w:val="-4"/>
                <w:sz w:val="24"/>
              </w:rPr>
              <w:t>an</w:t>
            </w:r>
          </w:p>
        </w:tc>
        <w:tc>
          <w:tcPr>
            <w:tcW w:w="925" w:type="dxa"/>
          </w:tcPr>
          <w:p w:rsidR="00746F9E" w:rsidRDefault="008372B3">
            <w:pPr>
              <w:pStyle w:val="TableParagraph"/>
              <w:ind w:left="106"/>
              <w:rPr>
                <w:i/>
                <w:sz w:val="24"/>
              </w:rPr>
            </w:pPr>
            <w:r>
              <w:rPr>
                <w:i/>
                <w:spacing w:val="-5"/>
                <w:sz w:val="24"/>
              </w:rPr>
              <w:t>85%</w:t>
            </w:r>
          </w:p>
        </w:tc>
        <w:tc>
          <w:tcPr>
            <w:tcW w:w="852" w:type="dxa"/>
          </w:tcPr>
          <w:p w:rsidR="00746F9E" w:rsidRDefault="008372B3">
            <w:pPr>
              <w:pStyle w:val="TableParagraph"/>
              <w:ind w:left="106"/>
              <w:rPr>
                <w:i/>
                <w:sz w:val="24"/>
              </w:rPr>
            </w:pPr>
            <w:r>
              <w:rPr>
                <w:i/>
                <w:spacing w:val="-4"/>
                <w:sz w:val="24"/>
              </w:rPr>
              <w:t>1320</w:t>
            </w:r>
          </w:p>
        </w:tc>
        <w:tc>
          <w:tcPr>
            <w:tcW w:w="854" w:type="dxa"/>
          </w:tcPr>
          <w:p w:rsidR="00746F9E" w:rsidRDefault="008372B3">
            <w:pPr>
              <w:pStyle w:val="TableParagraph"/>
              <w:ind w:left="108"/>
              <w:rPr>
                <w:i/>
                <w:sz w:val="24"/>
              </w:rPr>
            </w:pPr>
            <w:r>
              <w:rPr>
                <w:i/>
                <w:spacing w:val="-4"/>
                <w:sz w:val="24"/>
              </w:rPr>
              <w:t>1320</w:t>
            </w:r>
          </w:p>
        </w:tc>
        <w:tc>
          <w:tcPr>
            <w:tcW w:w="598" w:type="dxa"/>
          </w:tcPr>
          <w:p w:rsidR="00746F9E" w:rsidRDefault="008372B3">
            <w:pPr>
              <w:pStyle w:val="TableParagraph"/>
              <w:ind w:left="9"/>
              <w:jc w:val="center"/>
              <w:rPr>
                <w:i/>
                <w:sz w:val="24"/>
              </w:rPr>
            </w:pPr>
            <w:r>
              <w:rPr>
                <w:i/>
                <w:spacing w:val="-10"/>
                <w:sz w:val="24"/>
              </w:rPr>
              <w:t>*</w:t>
            </w:r>
          </w:p>
        </w:tc>
      </w:tr>
    </w:tbl>
    <w:p w:rsidR="00746F9E" w:rsidRDefault="00746F9E">
      <w:pPr>
        <w:pStyle w:val="BodyText"/>
        <w:spacing w:before="0"/>
      </w:pPr>
    </w:p>
    <w:p w:rsidR="00746F9E" w:rsidRDefault="00746F9E">
      <w:pPr>
        <w:pStyle w:val="BodyText"/>
        <w:spacing w:before="203"/>
      </w:pPr>
    </w:p>
    <w:p w:rsidR="00746F9E" w:rsidRDefault="008372B3">
      <w:pPr>
        <w:spacing w:before="1"/>
        <w:ind w:left="4235"/>
        <w:jc w:val="both"/>
        <w:rPr>
          <w:i/>
          <w:sz w:val="24"/>
        </w:rPr>
      </w:pPr>
      <w:r>
        <w:rPr>
          <w:i/>
          <w:sz w:val="24"/>
        </w:rPr>
        <w:t xml:space="preserve">Article </w:t>
      </w:r>
      <w:r>
        <w:rPr>
          <w:i/>
          <w:spacing w:val="-10"/>
          <w:sz w:val="24"/>
        </w:rPr>
        <w:t>2</w:t>
      </w:r>
    </w:p>
    <w:p w:rsidR="00746F9E" w:rsidRPr="00E816B5" w:rsidRDefault="008372B3">
      <w:pPr>
        <w:pStyle w:val="BodyText"/>
        <w:ind w:left="116" w:right="155"/>
        <w:jc w:val="both"/>
        <w:rPr>
          <w:lang w:val="fr-FR"/>
        </w:rPr>
      </w:pPr>
      <w:r w:rsidRPr="00E816B5">
        <w:rPr>
          <w:lang w:val="fr-FR"/>
        </w:rPr>
        <w:t xml:space="preserve">Le PMO présente, au plus tard deux ans après l'adoption de la présente décision, un rapport sur les coûts financiers et l'impact des </w:t>
      </w:r>
      <w:r w:rsidRPr="00E816B5">
        <w:rPr>
          <w:lang w:val="fr-FR"/>
        </w:rPr>
        <w:t xml:space="preserve">règles de remboursement contenues dans la décision. Au vu </w:t>
      </w:r>
      <w:r w:rsidRPr="00E816B5">
        <w:rPr>
          <w:spacing w:val="-2"/>
          <w:lang w:val="fr-FR"/>
        </w:rPr>
        <w:t xml:space="preserve">des </w:t>
      </w:r>
      <w:r w:rsidRPr="00E816B5">
        <w:rPr>
          <w:lang w:val="fr-FR"/>
        </w:rPr>
        <w:t xml:space="preserve">conclusions, des ajustements appropriés sont proposés par la Commission si et là où </w:t>
      </w:r>
      <w:r w:rsidRPr="00E816B5">
        <w:rPr>
          <w:spacing w:val="-2"/>
          <w:lang w:val="fr-FR"/>
        </w:rPr>
        <w:t>cela s'avère nécessaire.</w:t>
      </w:r>
    </w:p>
    <w:p w:rsidR="00746F9E" w:rsidRPr="00E816B5" w:rsidRDefault="00746F9E">
      <w:pPr>
        <w:jc w:val="both"/>
        <w:rPr>
          <w:lang w:val="fr-FR"/>
        </w:rPr>
        <w:sectPr w:rsidR="00746F9E" w:rsidRPr="00E816B5">
          <w:pgSz w:w="11910" w:h="16840"/>
          <w:pgMar w:top="1040" w:right="1260" w:bottom="1240" w:left="1300" w:header="0" w:footer="1041" w:gutter="0"/>
          <w:cols w:space="720"/>
        </w:sectPr>
      </w:pPr>
    </w:p>
    <w:p w:rsidR="00746F9E" w:rsidRPr="00E816B5" w:rsidRDefault="008372B3">
      <w:pPr>
        <w:spacing w:before="73"/>
        <w:ind w:left="4235"/>
        <w:rPr>
          <w:i/>
          <w:sz w:val="24"/>
          <w:lang w:val="fr-FR"/>
        </w:rPr>
      </w:pPr>
      <w:r w:rsidRPr="00E816B5">
        <w:rPr>
          <w:i/>
          <w:sz w:val="24"/>
          <w:lang w:val="fr-FR"/>
        </w:rPr>
        <w:t xml:space="preserve">Article </w:t>
      </w:r>
      <w:r w:rsidRPr="00E816B5">
        <w:rPr>
          <w:i/>
          <w:spacing w:val="-10"/>
          <w:sz w:val="24"/>
          <w:lang w:val="fr-FR"/>
        </w:rPr>
        <w:t>3</w:t>
      </w:r>
    </w:p>
    <w:p w:rsidR="00746F9E" w:rsidRPr="00E816B5" w:rsidRDefault="008372B3">
      <w:pPr>
        <w:pStyle w:val="BodyText"/>
        <w:spacing w:before="121" w:line="343" w:lineRule="auto"/>
        <w:ind w:left="116" w:right="1750"/>
        <w:rPr>
          <w:lang w:val="fr-FR"/>
        </w:rPr>
      </w:pPr>
      <w:r w:rsidRPr="00E816B5">
        <w:rPr>
          <w:lang w:val="fr-FR"/>
        </w:rPr>
        <w:t>La décision prend effet à la date d'adoption de la présen</w:t>
      </w:r>
      <w:r w:rsidRPr="00E816B5">
        <w:rPr>
          <w:lang w:val="fr-FR"/>
        </w:rPr>
        <w:t>te décision. Fait à Bruxelles, le 17.11.2023.</w:t>
      </w:r>
    </w:p>
    <w:p w:rsidR="00746F9E" w:rsidRPr="00E816B5" w:rsidRDefault="00746F9E">
      <w:pPr>
        <w:pStyle w:val="BodyText"/>
        <w:spacing w:before="0"/>
        <w:rPr>
          <w:lang w:val="fr-FR"/>
        </w:rPr>
      </w:pPr>
    </w:p>
    <w:p w:rsidR="00746F9E" w:rsidRPr="00E816B5" w:rsidRDefault="00746F9E">
      <w:pPr>
        <w:pStyle w:val="BodyText"/>
        <w:spacing w:before="50"/>
        <w:rPr>
          <w:lang w:val="fr-FR"/>
        </w:rPr>
      </w:pPr>
    </w:p>
    <w:p w:rsidR="00746F9E" w:rsidRPr="00E816B5" w:rsidRDefault="008372B3">
      <w:pPr>
        <w:ind w:left="4370" w:right="2163"/>
        <w:rPr>
          <w:i/>
          <w:sz w:val="24"/>
          <w:lang w:val="fr-FR"/>
        </w:rPr>
      </w:pPr>
      <w:r w:rsidRPr="00E816B5">
        <w:rPr>
          <w:i/>
          <w:sz w:val="24"/>
          <w:lang w:val="fr-FR"/>
        </w:rPr>
        <w:t>Par la Commission Johannes HAHN</w:t>
      </w:r>
    </w:p>
    <w:p w:rsidR="00746F9E" w:rsidRPr="00E816B5" w:rsidRDefault="008372B3">
      <w:pPr>
        <w:ind w:left="4370"/>
        <w:rPr>
          <w:i/>
          <w:sz w:val="24"/>
          <w:lang w:val="fr-FR"/>
        </w:rPr>
      </w:pPr>
      <w:r w:rsidRPr="00E816B5">
        <w:rPr>
          <w:i/>
          <w:sz w:val="24"/>
          <w:lang w:val="fr-FR"/>
        </w:rPr>
        <w:t xml:space="preserve">Membre de la </w:t>
      </w:r>
      <w:r w:rsidRPr="00E816B5">
        <w:rPr>
          <w:i/>
          <w:spacing w:val="-2"/>
          <w:sz w:val="24"/>
          <w:lang w:val="fr-FR"/>
        </w:rPr>
        <w:t>Commission</w:t>
      </w:r>
    </w:p>
    <w:sectPr w:rsidR="00746F9E" w:rsidRPr="00E816B5">
      <w:pgSz w:w="11910" w:h="16840"/>
      <w:pgMar w:top="1040" w:right="1260" w:bottom="1240" w:left="130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B3" w:rsidRDefault="008372B3">
      <w:r>
        <w:separator/>
      </w:r>
    </w:p>
  </w:endnote>
  <w:endnote w:type="continuationSeparator" w:id="0">
    <w:p w:rsidR="008372B3" w:rsidRDefault="0083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9E" w:rsidRDefault="008372B3">
    <w:pPr>
      <w:pStyle w:val="BodyText"/>
      <w:spacing w:before="0" w:line="14" w:lineRule="auto"/>
      <w:rPr>
        <w:sz w:val="20"/>
      </w:rPr>
    </w:pPr>
    <w:r>
      <w:rPr>
        <w:noProof/>
        <w:lang w:val="en-GB" w:eastAsia="en-GB"/>
      </w:rPr>
      <mc:AlternateContent>
        <mc:Choice Requires="wps">
          <w:drawing>
            <wp:anchor distT="0" distB="0" distL="0" distR="0" simplePos="0" relativeHeight="487464448" behindDoc="1" locked="0" layoutInCell="1" allowOverlap="1">
              <wp:simplePos x="0" y="0"/>
              <wp:positionH relativeFrom="page">
                <wp:posOffset>346963</wp:posOffset>
              </wp:positionH>
              <wp:positionV relativeFrom="page">
                <wp:posOffset>9891692</wp:posOffset>
              </wp:positionV>
              <wp:extent cx="447675" cy="3663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366395"/>
                      </a:xfrm>
                      <a:prstGeom prst="rect">
                        <a:avLst/>
                      </a:prstGeom>
                    </wps:spPr>
                    <wps:txbx>
                      <w:txbxContent>
                        <w:p w:rsidR="00746F9E" w:rsidRDefault="008372B3">
                          <w:pPr>
                            <w:spacing w:before="4"/>
                            <w:ind w:left="20"/>
                            <w:rPr>
                              <w:rFonts w:ascii="Arial"/>
                              <w:b/>
                              <w:sz w:val="48"/>
                            </w:rPr>
                          </w:pPr>
                          <w:r>
                            <w:rPr>
                              <w:rFonts w:ascii="Arial"/>
                              <w:b/>
                              <w:spacing w:val="-5"/>
                              <w:sz w:val="48"/>
                            </w:rPr>
                            <w:t>FR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7.3pt;margin-top:778.85pt;width:35.25pt;height:28.85pt;z-index:-1585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xypwEAAD4DAAAOAAAAZHJzL2Uyb0RvYy54bWysUttuGyEQfa/Uf0C819i5OO3K66ht1KpS&#10;1FZK8gEsC17UhaEM9q7/vgO7dqL2LeoLDHA4Z87MbG5H17ODjmjB13y1WHKmvYLW+l3Nnx6/vHvP&#10;GSbpW9mD1zU/auS327dvNkOo9AV00Lc6MiLxWA2h5l1KoRICVaedxAUE7enRQHQy0THuRBvlQOyu&#10;FxfL5VoMENsQQWlEur2bHvm28BujVfphDOrE+ppTbqmssaxNXsV2I6tdlKGzak5DviILJ60n0TPV&#10;nUyS7aP9h8pZFQHBpIUCJ8AYq3TxQG5Wy7/cPHQy6OKFioPhXCb8f7Tq++FnZLal3nHmpaMWPeox&#10;NTCyVS7OELAizEMgVBo/wZiB2SiGe1C/kCDiBWb6gITOmNFEl3eyyegj1f94rjmJMEWXV1c365tr&#10;zhQ9Xa7Xlx+us6x4/hwipq8aHMtBzSO1tCQgD/eYJugJMucyyees0tiMs4kG2iN5GKjVNcffexk1&#10;Z/03T7XMc3EK4iloTkFM/Wco05OtePi4T2BsUc4SE++sTE0quc8Dlafg5bmgnsd++wcAAP//AwBQ&#10;SwMEFAAGAAgAAAAhAH8RL5DhAAAADAEAAA8AAABkcnMvZG93bnJldi54bWxMjz1PwzAQhnck/oN1&#10;SGzUSVQnKI1ToaKKATG0gNTRjU0cEZ8j203df4870e0+Hr33XLOOZiSzcn6wyCFfZEAUdlYO2HP4&#10;+tw+PQPxQaAUo0XF4aI8rNv7u0bU0p5xp+Z96EkKQV8LDjqEqabUd1oZ4Rd2Uph2P9YZEVLreiqd&#10;OKdwM9Iiy0pqxIDpghaT2mjV/e5PhsP3Ztq+x4MWHzOTb69Ftbu4LnL++BBfVkCCiuEfhqt+Uoc2&#10;OR3tCaUnIwe2LBOZ5oxVFZArUbAcyDEVZc6WQNuG3j7R/gEAAP//AwBQSwECLQAUAAYACAAAACEA&#10;toM4kv4AAADhAQAAEwAAAAAAAAAAAAAAAAAAAAAAW0NvbnRlbnRfVHlwZXNdLnhtbFBLAQItABQA&#10;BgAIAAAAIQA4/SH/1gAAAJQBAAALAAAAAAAAAAAAAAAAAC8BAABfcmVscy8ucmVsc1BLAQItABQA&#10;BgAIAAAAIQAqU8xypwEAAD4DAAAOAAAAAAAAAAAAAAAAAC4CAABkcnMvZTJvRG9jLnhtbFBLAQIt&#10;ABQABgAIAAAAIQB/ES+Q4QAAAAwBAAAPAAAAAAAAAAAAAAAAAAEEAABkcnMvZG93bnJldi54bWxQ&#10;SwUGAAAAAAQABADzAAAADwUAAAAA&#10;" filled="f" stroked="f">
              <v:path arrowok="t"/>
              <v:textbox inset="0,0,0,0">
                <w:txbxContent>
                  <w:p w:rsidR="00746F9E" w:rsidRDefault="008372B3">
                    <w:pPr>
                      <w:spacing w:before="4"/>
                      <w:ind w:left="20"/>
                      <w:rPr>
                        <w:rFonts w:ascii="Arial"/>
                        <w:b/>
                        <w:sz w:val="48"/>
                      </w:rPr>
                    </w:pPr>
                    <w:r>
                      <w:rPr>
                        <w:rFonts w:ascii="Arial"/>
                        <w:b/>
                        <w:spacing w:val="-5"/>
                        <w:sz w:val="48"/>
                      </w:rPr>
                      <w:t>FR</w:t>
                    </w:r>
                  </w:p>
                </w:txbxContent>
              </v:textbox>
              <w10:wrap anchorx="page" anchory="page"/>
            </v:shape>
          </w:pict>
        </mc:Fallback>
      </mc:AlternateContent>
    </w:r>
    <w:r>
      <w:rPr>
        <w:noProof/>
        <w:lang w:val="en-GB" w:eastAsia="en-GB"/>
      </w:rPr>
      <mc:AlternateContent>
        <mc:Choice Requires="wps">
          <w:drawing>
            <wp:anchor distT="0" distB="0" distL="0" distR="0" simplePos="0" relativeHeight="487464960" behindDoc="1" locked="0" layoutInCell="1" allowOverlap="1">
              <wp:simplePos x="0" y="0"/>
              <wp:positionH relativeFrom="page">
                <wp:posOffset>6764528</wp:posOffset>
              </wp:positionH>
              <wp:positionV relativeFrom="page">
                <wp:posOffset>9891692</wp:posOffset>
              </wp:positionV>
              <wp:extent cx="447675" cy="3663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366395"/>
                      </a:xfrm>
                      <a:prstGeom prst="rect">
                        <a:avLst/>
                      </a:prstGeom>
                    </wps:spPr>
                    <wps:txbx>
                      <w:txbxContent>
                        <w:p w:rsidR="00746F9E" w:rsidRDefault="008372B3">
                          <w:pPr>
                            <w:spacing w:before="4"/>
                            <w:ind w:left="20"/>
                            <w:rPr>
                              <w:rFonts w:ascii="Arial"/>
                              <w:b/>
                              <w:sz w:val="48"/>
                            </w:rPr>
                          </w:pPr>
                          <w:r>
                            <w:rPr>
                              <w:rFonts w:ascii="Arial"/>
                              <w:b/>
                              <w:spacing w:val="-5"/>
                              <w:sz w:val="48"/>
                            </w:rPr>
                            <w:t>FR</w:t>
                          </w:r>
                        </w:p>
                      </w:txbxContent>
                    </wps:txbx>
                    <wps:bodyPr wrap="square" lIns="0" tIns="0" rIns="0" bIns="0" rtlCol="0">
                      <a:noAutofit/>
                    </wps:bodyPr>
                  </wps:wsp>
                </a:graphicData>
              </a:graphic>
            </wp:anchor>
          </w:drawing>
        </mc:Choice>
        <mc:Fallback>
          <w:pict>
            <v:shape id="Textbox 2" o:spid="_x0000_s1027" type="#_x0000_t202" style="position:absolute;margin-left:532.65pt;margin-top:778.85pt;width:35.25pt;height:28.85pt;z-index:-1585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T4qwEAAEUDAAAOAAAAZHJzL2Uyb0RvYy54bWysUsFuEzEQvSPxD5bvxEnaprDKpgIqEFIF&#10;SC0f4PXaWYu1x3ic7ObvGXuzaQU3xMUe289v3puZ7d3oenbUES34mq8WS860V9Bav6/5j6dPb95y&#10;hkn6Vvbgdc1PGvnd7vWr7RAqvYYO+lZHRiQeqyHUvEspVEKg6rSTuICgPT0aiE4mOsa9aKMciN31&#10;Yr1cbsQAsQ0RlEak2/vpke8KvzFapW/GoE6srzlpS2WNZW3yKnZbWe2jDJ1VZxnyH1Q4aT0lvVDd&#10;yyTZIdq/qJxVERBMWihwAoyxShcP5Ga1/MPNYyeDLl6oOBguZcL/R6u+Hr9HZtuarznz0lGLnvSY&#10;GhjZOhdnCFgR5jEQKo0fYKQmF6MYHkD9RIKIF5jpAxI6F2M00eWdbDL6SPU/XWpOSZiiy+vr283t&#10;DWeKnq42m6t3NzmteP4cIqbPGhzLQc0jtbQIkMcHTBN0hpy1TOmzqjQ2YzG3mr000J7IykAdrzn+&#10;OsioOeu/eCppHo85iHPQzEFM/UcoQ5QdeXh/SGBsEZAzTbxnAdSrYuE8V3kYXp4L6nn6d78BAAD/&#10;/wMAUEsDBBQABgAIAAAAIQBc15eb4gAAAA8BAAAPAAAAZHJzL2Rvd25yZXYueG1sTI/BTsMwEETv&#10;SPyDtUjcqJMWJyjEqVBRxQFxaAGJoxsvcURsR7Gbun/P9gS3Ge3T7Ey9TnZgM06h905CvsiAoWu9&#10;7l0n4eN9e/cALETltBq8QwlnDLBurq9qVWl/cjuc97FjFOJCpSSYGMeK89AatCos/IiObt9+siqS&#10;nTquJ3WicDvwZZYV3Kre0QejRtwYbH/2RyvhczNuX9OXUW+z0C/Py3J3ntok5e1NenoEFjHFPxgu&#10;9ak6NNTp4I9OBzaQzwqxIpaUEGUJ7MLkK0F7DqSKXNwDb2r+f0fzCwAA//8DAFBLAQItABQABgAI&#10;AAAAIQC2gziS/gAAAOEBAAATAAAAAAAAAAAAAAAAAAAAAABbQ29udGVudF9UeXBlc10ueG1sUEsB&#10;Ai0AFAAGAAgAAAAhADj9If/WAAAAlAEAAAsAAAAAAAAAAAAAAAAALwEAAF9yZWxzLy5yZWxzUEsB&#10;Ai0AFAAGAAgAAAAhAJ9OBPirAQAARQMAAA4AAAAAAAAAAAAAAAAALgIAAGRycy9lMm9Eb2MueG1s&#10;UEsBAi0AFAAGAAgAAAAhAFzXl5viAAAADwEAAA8AAAAAAAAAAAAAAAAABQQAAGRycy9kb3ducmV2&#10;LnhtbFBLBQYAAAAABAAEAPMAAAAUBQAAAAA=&#10;" filled="f" stroked="f">
              <v:path arrowok="t"/>
              <v:textbox inset="0,0,0,0">
                <w:txbxContent>
                  <w:p w:rsidR="00746F9E" w:rsidRDefault="008372B3">
                    <w:pPr>
                      <w:spacing w:before="4"/>
                      <w:ind w:left="20"/>
                      <w:rPr>
                        <w:rFonts w:ascii="Arial"/>
                        <w:b/>
                        <w:sz w:val="48"/>
                      </w:rPr>
                    </w:pPr>
                    <w:r>
                      <w:rPr>
                        <w:rFonts w:ascii="Arial"/>
                        <w:b/>
                        <w:spacing w:val="-5"/>
                        <w:sz w:val="48"/>
                      </w:rPr>
                      <w:t>FR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9E" w:rsidRDefault="008372B3">
    <w:pPr>
      <w:pStyle w:val="BodyText"/>
      <w:spacing w:before="0" w:line="14" w:lineRule="auto"/>
      <w:rPr>
        <w:sz w:val="20"/>
      </w:rPr>
    </w:pPr>
    <w:r>
      <w:rPr>
        <w:noProof/>
        <w:lang w:val="en-GB" w:eastAsia="en-GB"/>
      </w:rPr>
      <mc:AlternateContent>
        <mc:Choice Requires="wps">
          <w:drawing>
            <wp:anchor distT="0" distB="0" distL="0" distR="0" simplePos="0" relativeHeight="487465472" behindDoc="1" locked="0" layoutInCell="1" allowOverlap="1">
              <wp:simplePos x="0" y="0"/>
              <wp:positionH relativeFrom="page">
                <wp:posOffset>346963</wp:posOffset>
              </wp:positionH>
              <wp:positionV relativeFrom="page">
                <wp:posOffset>9891692</wp:posOffset>
              </wp:positionV>
              <wp:extent cx="447675" cy="3663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366395"/>
                      </a:xfrm>
                      <a:prstGeom prst="rect">
                        <a:avLst/>
                      </a:prstGeom>
                    </wps:spPr>
                    <wps:txbx>
                      <w:txbxContent>
                        <w:p w:rsidR="00746F9E" w:rsidRDefault="008372B3">
                          <w:pPr>
                            <w:spacing w:before="4"/>
                            <w:ind w:left="20"/>
                            <w:rPr>
                              <w:rFonts w:ascii="Arial"/>
                              <w:b/>
                              <w:sz w:val="48"/>
                            </w:rPr>
                          </w:pPr>
                          <w:r>
                            <w:rPr>
                              <w:rFonts w:ascii="Arial"/>
                              <w:b/>
                              <w:spacing w:val="-5"/>
                              <w:sz w:val="48"/>
                            </w:rPr>
                            <w:t>FR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margin-left:27.3pt;margin-top:778.85pt;width:35.25pt;height:28.85pt;z-index:-1585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mpqwEAAEUDAAAOAAAAZHJzL2Uyb0RvYy54bWysUsFuEzEQvSPxD5bvxGmaprDKpgIqEFIF&#10;SC0f4PXaWYu1x3ic7ObvGXuzaQU3xMUe289v3puZ7d3oenbUES34ml8tlpxpr6C1fl/zH0+f3rzl&#10;DJP0rezB65qfNPK73etX2yFUegUd9K2OjEg8VkOoeZdSqIRA1WkncQFBe3o0EJ1MdIx70UY5ELvr&#10;xWq53IgBYhsiKI1It/fTI98VfmO0St+MQZ1YX3PSlsoay9rkVey2stpHGTqrzjLkP6hw0npKeqG6&#10;l0myQ7R/UTmrIiCYtFDgBBhjlS4eyM3V8g83j50Munih4mC4lAn/H636evwemW1rvubMS0ctetJj&#10;amBk61ycIWBFmMdAqDR+gJGaXIxieAD1EwkiXmCmD0joXIzRRJd3ssnoI9X/dKk5JWGKLtfr283t&#10;DWeKnq43m+t3NzmteP4cIqbPGhzLQc0jtbQIkMcHTBN0hpy1TOmzqjQ2YzG3mr000J7IykAdrzn+&#10;OsioOeu/eCppHo85iHPQzEFM/UcoQ5QdeXh/SGBsEZAzTbxnAdSrYuE8V3kYXp4L6nn6d78BAAD/&#10;/wMAUEsDBBQABgAIAAAAIQB/ES+Q4QAAAAwBAAAPAAAAZHJzL2Rvd25yZXYueG1sTI89T8MwEIZ3&#10;JP6DdUhs1ElUJyiNU6GiigExtIDU0Y1NHBGfI9tN3X+PO9HtPh6991yzjmYks3J+sMghX2RAFHZW&#10;Dthz+PrcPj0D8UGgFKNFxeGiPKzb+7tG1NKecafmfehJCkFfCw46hKmm1HdaGeEXdlKYdj/WGRFS&#10;63oqnTincDPSIstKasSA6YIWk9po1f3uT4bD92bavseDFh8zk2+vRbW7uC5y/vgQX1ZAgorhH4ar&#10;flKHNjkd7QmlJyMHtiwTmeaMVRWQK1GwHMgxFWXOlkDbht4+0f4BAAD//wMAUEsBAi0AFAAGAAgA&#10;AAAhALaDOJL+AAAA4QEAABMAAAAAAAAAAAAAAAAAAAAAAFtDb250ZW50X1R5cGVzXS54bWxQSwEC&#10;LQAUAAYACAAAACEAOP0h/9YAAACUAQAACwAAAAAAAAAAAAAAAAAvAQAAX3JlbHMvLnJlbHNQSwEC&#10;LQAUAAYACAAAACEAdUtJqasBAABFAwAADgAAAAAAAAAAAAAAAAAuAgAAZHJzL2Uyb0RvYy54bWxQ&#10;SwECLQAUAAYACAAAACEAfxEvkOEAAAAMAQAADwAAAAAAAAAAAAAAAAAFBAAAZHJzL2Rvd25yZXYu&#10;eG1sUEsFBgAAAAAEAAQA8wAAABMFAAAAAA==&#10;" filled="f" stroked="f">
              <v:path arrowok="t"/>
              <v:textbox inset="0,0,0,0">
                <w:txbxContent>
                  <w:p w:rsidR="00746F9E" w:rsidRDefault="008372B3">
                    <w:pPr>
                      <w:spacing w:before="4"/>
                      <w:ind w:left="20"/>
                      <w:rPr>
                        <w:rFonts w:ascii="Arial"/>
                        <w:b/>
                        <w:sz w:val="48"/>
                      </w:rPr>
                    </w:pPr>
                    <w:r>
                      <w:rPr>
                        <w:rFonts w:ascii="Arial"/>
                        <w:b/>
                        <w:spacing w:val="-5"/>
                        <w:sz w:val="48"/>
                      </w:rPr>
                      <w:t>FR</w:t>
                    </w:r>
                  </w:p>
                </w:txbxContent>
              </v:textbox>
              <w10:wrap anchorx="page" anchory="page"/>
            </v:shape>
          </w:pict>
        </mc:Fallback>
      </mc:AlternateContent>
    </w:r>
    <w:r>
      <w:rPr>
        <w:noProof/>
        <w:lang w:val="en-GB" w:eastAsia="en-GB"/>
      </w:rPr>
      <mc:AlternateContent>
        <mc:Choice Requires="wps">
          <w:drawing>
            <wp:anchor distT="0" distB="0" distL="0" distR="0" simplePos="0" relativeHeight="487465984" behindDoc="1" locked="0" layoutInCell="1" allowOverlap="1">
              <wp:simplePos x="0" y="0"/>
              <wp:positionH relativeFrom="page">
                <wp:posOffset>6764528</wp:posOffset>
              </wp:positionH>
              <wp:positionV relativeFrom="page">
                <wp:posOffset>9891692</wp:posOffset>
              </wp:positionV>
              <wp:extent cx="447675" cy="36639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366395"/>
                      </a:xfrm>
                      <a:prstGeom prst="rect">
                        <a:avLst/>
                      </a:prstGeom>
                    </wps:spPr>
                    <wps:txbx>
                      <w:txbxContent>
                        <w:p w:rsidR="00746F9E" w:rsidRDefault="008372B3">
                          <w:pPr>
                            <w:spacing w:before="4"/>
                            <w:ind w:left="20"/>
                            <w:rPr>
                              <w:rFonts w:ascii="Arial"/>
                              <w:b/>
                              <w:sz w:val="48"/>
                            </w:rPr>
                          </w:pPr>
                          <w:r>
                            <w:rPr>
                              <w:rFonts w:ascii="Arial"/>
                              <w:b/>
                              <w:spacing w:val="-5"/>
                              <w:sz w:val="48"/>
                            </w:rPr>
                            <w:t>FR</w:t>
                          </w:r>
                        </w:p>
                      </w:txbxContent>
                    </wps:txbx>
                    <wps:bodyPr wrap="square" lIns="0" tIns="0" rIns="0" bIns="0" rtlCol="0">
                      <a:noAutofit/>
                    </wps:bodyPr>
                  </wps:wsp>
                </a:graphicData>
              </a:graphic>
            </wp:anchor>
          </w:drawing>
        </mc:Choice>
        <mc:Fallback>
          <w:pict>
            <v:shape id="Textbox 5" o:spid="_x0000_s1029" type="#_x0000_t202" style="position:absolute;margin-left:532.65pt;margin-top:778.85pt;width:35.25pt;height:28.85pt;z-index:-1585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kVqgEAAEUDAAAOAAAAZHJzL2Uyb0RvYy54bWysUs1uGyEQvlfKOyDuNU6cOO3K66hplKhS&#10;1FZK8gAsC17UhaEM9q7fvgP2OlF7i3qBAYb5fmZWN6Pr2U5HtOBrfj6bc6a9gtb6Tc1fnu8/fuIM&#10;k/St7MHrmu818pv12YfVECp9AR30rY6MinishlDzLqVQCYGq007iDIL29GggOpnoGDeijXKg6q4X&#10;F/P5UgwQ2xBBaUS6vTs88nWpb4xW6YcxqBPra07cUlljWZu8ivVKVpsoQ2fVkYZ8BwsnrSfQU6k7&#10;mSTbRvtPKWdVBASTZgqcAGOs0kUDqTmf/6XmqZNBFy1kDoaTTfj/yqrvu5+R2bbmV5x56ahFz3pM&#10;DYzsKpszBKwo5ylQVhpvYaQmF6EYHkH9QkoRb3IOH5CysxmjiS7vJJPRR/J/f/KcQJiiy8vL6+U1&#10;YSt6WiyXi88FVrx+DhHTgwbHclDzSC0tBOTuEVOGl9WUcuRygM+s0tiMRdxi0tJAuycpA3W85vh7&#10;K6PmrP/mydI8HlMQp6CZgpj6r1CGKCvy8GWbwNhCICMd6h4JUK8Kr+Nc5WF4ey5Zr9O//gMAAP//&#10;AwBQSwMEFAAGAAgAAAAhAFzXl5viAAAADwEAAA8AAABkcnMvZG93bnJldi54bWxMj8FOwzAQRO9I&#10;/IO1SNyokxYnKMSpUFHFAXFoAYmjGy9xRGxHsZu6f8/2BLcZ7dPsTL1OdmAzTqH3TkK+yICha73u&#10;XSfh43179wAsROW0GrxDCWcMsG6ur2pVaX9yO5z3sWMU4kKlJJgYx4rz0Bq0Kiz8iI5u336yKpKd&#10;Oq4ndaJwO/BllhXcqt7RB6NG3Bhsf/ZHK+FzM25f05dRb7PQL8/Lcnee2iTl7U16egQWMcU/GC71&#10;qTo01Ongj04HNpDPCrEilpQQZQnswuQrQXsOpIpc3ANvav5/R/MLAAD//wMAUEsBAi0AFAAGAAgA&#10;AAAhALaDOJL+AAAA4QEAABMAAAAAAAAAAAAAAAAAAAAAAFtDb250ZW50X1R5cGVzXS54bWxQSwEC&#10;LQAUAAYACAAAACEAOP0h/9YAAACUAQAACwAAAAAAAAAAAAAAAAAvAQAAX3JlbHMvLnJlbHNQSwEC&#10;LQAUAAYACAAAACEAYgLpFaoBAABFAwAADgAAAAAAAAAAAAAAAAAuAgAAZHJzL2Uyb0RvYy54bWxQ&#10;SwECLQAUAAYACAAAACEAXNeXm+IAAAAPAQAADwAAAAAAAAAAAAAAAAAEBAAAZHJzL2Rvd25yZXYu&#10;eG1sUEsFBgAAAAAEAAQA8wAAABMFAAAAAA==&#10;" filled="f" stroked="f">
              <v:path arrowok="t"/>
              <v:textbox inset="0,0,0,0">
                <w:txbxContent>
                  <w:p w:rsidR="00746F9E" w:rsidRDefault="008372B3">
                    <w:pPr>
                      <w:spacing w:before="4"/>
                      <w:ind w:left="20"/>
                      <w:rPr>
                        <w:rFonts w:ascii="Arial"/>
                        <w:b/>
                        <w:sz w:val="48"/>
                      </w:rPr>
                    </w:pPr>
                    <w:r>
                      <w:rPr>
                        <w:rFonts w:ascii="Arial"/>
                        <w:b/>
                        <w:spacing w:val="-5"/>
                        <w:sz w:val="48"/>
                      </w:rPr>
                      <w:t>FR</w:t>
                    </w:r>
                  </w:p>
                </w:txbxContent>
              </v:textbox>
              <w10:wrap anchorx="page" anchory="page"/>
            </v:shape>
          </w:pict>
        </mc:Fallback>
      </mc:AlternateContent>
    </w:r>
    <w:r>
      <w:rPr>
        <w:noProof/>
        <w:lang w:val="en-GB" w:eastAsia="en-GB"/>
      </w:rPr>
      <mc:AlternateContent>
        <mc:Choice Requires="wps">
          <w:drawing>
            <wp:anchor distT="0" distB="0" distL="0" distR="0" simplePos="0" relativeHeight="487466496" behindDoc="1" locked="0" layoutInCell="1" allowOverlap="1">
              <wp:simplePos x="0" y="0"/>
              <wp:positionH relativeFrom="page">
                <wp:posOffset>3704209</wp:posOffset>
              </wp:positionH>
              <wp:positionV relativeFrom="page">
                <wp:posOffset>10031814</wp:posOffset>
              </wp:positionV>
              <wp:extent cx="1651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746F9E" w:rsidRDefault="008372B3">
                          <w:pPr>
                            <w:pStyle w:val="BodyText"/>
                            <w:spacing w:before="10"/>
                            <w:ind w:left="60"/>
                          </w:pPr>
                          <w:r>
                            <w:rPr>
                              <w:spacing w:val="-10"/>
                            </w:rPr>
                            <w:fldChar w:fldCharType="begin"/>
                          </w:r>
                          <w:r>
                            <w:rPr>
                              <w:spacing w:val="-10"/>
                            </w:rPr>
                            <w:instrText xml:space="preserve"> PAGE </w:instrText>
                          </w:r>
                          <w:r>
                            <w:rPr>
                              <w:spacing w:val="-10"/>
                            </w:rPr>
                            <w:fldChar w:fldCharType="separate"/>
                          </w:r>
                          <w:r w:rsidR="00387D18">
                            <w:rPr>
                              <w:noProof/>
                              <w:spacing w:val="-10"/>
                            </w:rPr>
                            <w:t>9</w:t>
                          </w:r>
                          <w:r>
                            <w:rPr>
                              <w:spacing w:val="-10"/>
                            </w:rPr>
                            <w:fldChar w:fldCharType="end"/>
                          </w:r>
                        </w:p>
                      </w:txbxContent>
                    </wps:txbx>
                    <wps:bodyPr wrap="square" lIns="0" tIns="0" rIns="0" bIns="0" rtlCol="0">
                      <a:noAutofit/>
                    </wps:bodyPr>
                  </wps:wsp>
                </a:graphicData>
              </a:graphic>
            </wp:anchor>
          </w:drawing>
        </mc:Choice>
        <mc:Fallback>
          <w:pict>
            <v:shape id="Textbox 6" o:spid="_x0000_s1030" type="#_x0000_t202" style="position:absolute;margin-left:291.65pt;margin-top:789.9pt;width:13pt;height:15.3pt;z-index:-1584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i6qQEAAEUDAAAOAAAAZHJzL2Uyb0RvYy54bWysUsGO0zAQvSPxD5bv1MmyVBA1XQErENIK&#10;kHb3AxzHbixij/G4Tfr3jN2mu4Lbioszzjy/eW9mNjezG9lBR7TgW16vKs60V9Bbv2v548OXN+85&#10;wyR9L0fwuuVHjfxm+/rVZgqNvoIBxl5HRiQemym0fEgpNEKgGrSTuIKgPSUNRCcTXeNO9FFOxO5G&#10;cVVVazFB7EMEpRHp7+0pybeF3xit0g9jUCc2tpy0pXLGcnb5FNuNbHZRhsGqswz5AhVOWk9FL1S3&#10;Mkm2j/YfKmdVBASTVgqcAGOs0sUDuamrv9zcDzLo4oWag+HSJvx/tOr74Wdktm/5mjMvHY3oQc+p&#10;g5mtc3OmgA1h7gOh0vwJZhpyMYrhDtQvJIh4hjk9QELnZswmuvwlm4weUv+Pl55TEaYy2/pdXVFG&#10;Uar+cP22LjMRT49DxPRVg2M5aHmkkRYB8nCHKZeXzQI5azmVz6rS3M3F3PXipYP+SFYmmnjL8fde&#10;Rs3Z+M1TS/N6LEFcgm4JYho/Q1mi7MjDx30CY4uAXOnEexZAsyq6znuVl+H5vaCetn/7BwAA//8D&#10;AFBLAwQUAAYACAAAACEA//LTN+IAAAANAQAADwAAAGRycy9kb3ducmV2LnhtbEyPwU7DMBBE70j8&#10;g7VI3KjdlqRtiFOhoooD4tBCpR7deIkjYjuK3dT9e5YTHHfmaXamXCfbsRGH0HonYToRwNDVXreu&#10;kfD5sX1YAgtROa0671DCFQOsq9ubUhXaX9wOx31sGIW4UCgJJsa+4DzUBq0KE9+jI+/LD1ZFOoeG&#10;60FdKNx2fCZEzq1qHX0wqseNwfp7f7YSDpt++5aORr2PmX59mS1216FOUt7fpecnYBFT/IPhtz5V&#10;h4o6nfzZ6cA6CdlyPieUjGyxohGE5GJF0omkfCoegVcl/7+i+gEAAP//AwBQSwECLQAUAAYACAAA&#10;ACEAtoM4kv4AAADhAQAAEwAAAAAAAAAAAAAAAAAAAAAAW0NvbnRlbnRfVHlwZXNdLnhtbFBLAQIt&#10;ABQABgAIAAAAIQA4/SH/1gAAAJQBAAALAAAAAAAAAAAAAAAAAC8BAABfcmVscy8ucmVsc1BLAQIt&#10;ABQABgAIAAAAIQDrWJi6qQEAAEUDAAAOAAAAAAAAAAAAAAAAAC4CAABkcnMvZTJvRG9jLnhtbFBL&#10;AQItABQABgAIAAAAIQD/8tM34gAAAA0BAAAPAAAAAAAAAAAAAAAAAAMEAABkcnMvZG93bnJldi54&#10;bWxQSwUGAAAAAAQABADzAAAAEgUAAAAA&#10;" filled="f" stroked="f">
              <v:path arrowok="t"/>
              <v:textbox inset="0,0,0,0">
                <w:txbxContent>
                  <w:p w:rsidR="00746F9E" w:rsidRDefault="008372B3">
                    <w:pPr>
                      <w:pStyle w:val="BodyText"/>
                      <w:spacing w:before="10"/>
                      <w:ind w:left="60"/>
                    </w:pPr>
                    <w:r>
                      <w:rPr>
                        <w:spacing w:val="-10"/>
                      </w:rPr>
                      <w:fldChar w:fldCharType="begin"/>
                    </w:r>
                    <w:r>
                      <w:rPr>
                        <w:spacing w:val="-10"/>
                      </w:rPr>
                      <w:instrText xml:space="preserve"> PAGE </w:instrText>
                    </w:r>
                    <w:r>
                      <w:rPr>
                        <w:spacing w:val="-10"/>
                      </w:rPr>
                      <w:fldChar w:fldCharType="separate"/>
                    </w:r>
                    <w:r w:rsidR="00387D18">
                      <w:rPr>
                        <w:noProof/>
                        <w:spacing w:val="-10"/>
                      </w:rPr>
                      <w:t>9</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B3" w:rsidRDefault="008372B3">
      <w:r>
        <w:separator/>
      </w:r>
    </w:p>
  </w:footnote>
  <w:footnote w:type="continuationSeparator" w:id="0">
    <w:p w:rsidR="008372B3" w:rsidRDefault="0083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30A0"/>
    <w:multiLevelType w:val="hybridMultilevel"/>
    <w:tmpl w:val="70CCB7D4"/>
    <w:lvl w:ilvl="0" w:tplc="DC265D0C">
      <w:start w:val="1"/>
      <w:numFmt w:val="lowerRoman"/>
      <w:lvlText w:val="%1."/>
      <w:lvlJc w:val="left"/>
      <w:pPr>
        <w:ind w:left="3717" w:hanging="75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0CE2C64">
      <w:numFmt w:val="bullet"/>
      <w:lvlText w:val="•"/>
      <w:lvlJc w:val="left"/>
      <w:pPr>
        <w:ind w:left="4282" w:hanging="759"/>
      </w:pPr>
      <w:rPr>
        <w:rFonts w:hint="default"/>
        <w:lang w:val="en-US" w:eastAsia="en-US" w:bidi="ar-SA"/>
      </w:rPr>
    </w:lvl>
    <w:lvl w:ilvl="2" w:tplc="5A3C2336">
      <w:numFmt w:val="bullet"/>
      <w:lvlText w:val="•"/>
      <w:lvlJc w:val="left"/>
      <w:pPr>
        <w:ind w:left="4845" w:hanging="759"/>
      </w:pPr>
      <w:rPr>
        <w:rFonts w:hint="default"/>
        <w:lang w:val="en-US" w:eastAsia="en-US" w:bidi="ar-SA"/>
      </w:rPr>
    </w:lvl>
    <w:lvl w:ilvl="3" w:tplc="443ABD88">
      <w:numFmt w:val="bullet"/>
      <w:lvlText w:val="•"/>
      <w:lvlJc w:val="left"/>
      <w:pPr>
        <w:ind w:left="5407" w:hanging="759"/>
      </w:pPr>
      <w:rPr>
        <w:rFonts w:hint="default"/>
        <w:lang w:val="en-US" w:eastAsia="en-US" w:bidi="ar-SA"/>
      </w:rPr>
    </w:lvl>
    <w:lvl w:ilvl="4" w:tplc="9E664116">
      <w:numFmt w:val="bullet"/>
      <w:lvlText w:val="•"/>
      <w:lvlJc w:val="left"/>
      <w:pPr>
        <w:ind w:left="5970" w:hanging="759"/>
      </w:pPr>
      <w:rPr>
        <w:rFonts w:hint="default"/>
        <w:lang w:val="en-US" w:eastAsia="en-US" w:bidi="ar-SA"/>
      </w:rPr>
    </w:lvl>
    <w:lvl w:ilvl="5" w:tplc="34D07C50">
      <w:numFmt w:val="bullet"/>
      <w:lvlText w:val="•"/>
      <w:lvlJc w:val="left"/>
      <w:pPr>
        <w:ind w:left="6533" w:hanging="759"/>
      </w:pPr>
      <w:rPr>
        <w:rFonts w:hint="default"/>
        <w:lang w:val="en-US" w:eastAsia="en-US" w:bidi="ar-SA"/>
      </w:rPr>
    </w:lvl>
    <w:lvl w:ilvl="6" w:tplc="6E74F4CA">
      <w:numFmt w:val="bullet"/>
      <w:lvlText w:val="•"/>
      <w:lvlJc w:val="left"/>
      <w:pPr>
        <w:ind w:left="7095" w:hanging="759"/>
      </w:pPr>
      <w:rPr>
        <w:rFonts w:hint="default"/>
        <w:lang w:val="en-US" w:eastAsia="en-US" w:bidi="ar-SA"/>
      </w:rPr>
    </w:lvl>
    <w:lvl w:ilvl="7" w:tplc="745A301A">
      <w:numFmt w:val="bullet"/>
      <w:lvlText w:val="•"/>
      <w:lvlJc w:val="left"/>
      <w:pPr>
        <w:ind w:left="7658" w:hanging="759"/>
      </w:pPr>
      <w:rPr>
        <w:rFonts w:hint="default"/>
        <w:lang w:val="en-US" w:eastAsia="en-US" w:bidi="ar-SA"/>
      </w:rPr>
    </w:lvl>
    <w:lvl w:ilvl="8" w:tplc="E13C5724">
      <w:numFmt w:val="bullet"/>
      <w:lvlText w:val="•"/>
      <w:lvlJc w:val="left"/>
      <w:pPr>
        <w:ind w:left="8221" w:hanging="759"/>
      </w:pPr>
      <w:rPr>
        <w:rFonts w:hint="default"/>
        <w:lang w:val="en-US" w:eastAsia="en-US" w:bidi="ar-SA"/>
      </w:rPr>
    </w:lvl>
  </w:abstractNum>
  <w:abstractNum w:abstractNumId="1" w15:restartNumberingAfterBreak="0">
    <w:nsid w:val="36C13906"/>
    <w:multiLevelType w:val="multilevel"/>
    <w:tmpl w:val="114AC4F8"/>
    <w:lvl w:ilvl="0">
      <w:start w:val="3"/>
      <w:numFmt w:val="decimal"/>
      <w:lvlText w:val="%1"/>
      <w:lvlJc w:val="left"/>
      <w:pPr>
        <w:ind w:left="1556" w:hanging="732"/>
        <w:jc w:val="left"/>
      </w:pPr>
      <w:rPr>
        <w:rFonts w:hint="default"/>
        <w:lang w:val="en-US" w:eastAsia="en-US" w:bidi="ar-SA"/>
      </w:rPr>
    </w:lvl>
    <w:lvl w:ilvl="1">
      <w:start w:val="1"/>
      <w:numFmt w:val="decimal"/>
      <w:lvlText w:val="%1.%2"/>
      <w:lvlJc w:val="left"/>
      <w:pPr>
        <w:ind w:left="1556" w:hanging="73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lowerLetter"/>
      <w:lvlText w:val="(%3)"/>
      <w:lvlJc w:val="left"/>
      <w:pPr>
        <w:ind w:left="2241" w:hanging="709"/>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numFmt w:val="bullet"/>
      <w:lvlText w:val="-"/>
      <w:lvlJc w:val="left"/>
      <w:pPr>
        <w:ind w:left="3237" w:hanging="754"/>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4766" w:hanging="754"/>
      </w:pPr>
      <w:rPr>
        <w:rFonts w:hint="default"/>
        <w:lang w:val="en-US" w:eastAsia="en-US" w:bidi="ar-SA"/>
      </w:rPr>
    </w:lvl>
    <w:lvl w:ilvl="5">
      <w:numFmt w:val="bullet"/>
      <w:lvlText w:val="•"/>
      <w:lvlJc w:val="left"/>
      <w:pPr>
        <w:ind w:left="5529" w:hanging="754"/>
      </w:pPr>
      <w:rPr>
        <w:rFonts w:hint="default"/>
        <w:lang w:val="en-US" w:eastAsia="en-US" w:bidi="ar-SA"/>
      </w:rPr>
    </w:lvl>
    <w:lvl w:ilvl="6">
      <w:numFmt w:val="bullet"/>
      <w:lvlText w:val="•"/>
      <w:lvlJc w:val="left"/>
      <w:pPr>
        <w:ind w:left="6293" w:hanging="754"/>
      </w:pPr>
      <w:rPr>
        <w:rFonts w:hint="default"/>
        <w:lang w:val="en-US" w:eastAsia="en-US" w:bidi="ar-SA"/>
      </w:rPr>
    </w:lvl>
    <w:lvl w:ilvl="7">
      <w:numFmt w:val="bullet"/>
      <w:lvlText w:val="•"/>
      <w:lvlJc w:val="left"/>
      <w:pPr>
        <w:ind w:left="7056" w:hanging="754"/>
      </w:pPr>
      <w:rPr>
        <w:rFonts w:hint="default"/>
        <w:lang w:val="en-US" w:eastAsia="en-US" w:bidi="ar-SA"/>
      </w:rPr>
    </w:lvl>
    <w:lvl w:ilvl="8">
      <w:numFmt w:val="bullet"/>
      <w:lvlText w:val="•"/>
      <w:lvlJc w:val="left"/>
      <w:pPr>
        <w:ind w:left="7819" w:hanging="754"/>
      </w:pPr>
      <w:rPr>
        <w:rFonts w:hint="default"/>
        <w:lang w:val="en-US" w:eastAsia="en-US" w:bidi="ar-SA"/>
      </w:rPr>
    </w:lvl>
  </w:abstractNum>
  <w:abstractNum w:abstractNumId="2" w15:restartNumberingAfterBreak="0">
    <w:nsid w:val="51CE1AC7"/>
    <w:multiLevelType w:val="hybridMultilevel"/>
    <w:tmpl w:val="0C0A41C2"/>
    <w:lvl w:ilvl="0" w:tplc="0852A26C">
      <w:start w:val="1"/>
      <w:numFmt w:val="decimal"/>
      <w:lvlText w:val="(%1)"/>
      <w:lvlJc w:val="left"/>
      <w:pPr>
        <w:ind w:left="824" w:hanging="70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5DAFBA6">
      <w:start w:val="1"/>
      <w:numFmt w:val="lowerLetter"/>
      <w:lvlText w:val="(%2)"/>
      <w:lvlJc w:val="left"/>
      <w:pPr>
        <w:ind w:left="966" w:hanging="85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CBF2AC4E">
      <w:numFmt w:val="bullet"/>
      <w:lvlText w:val="•"/>
      <w:lvlJc w:val="left"/>
      <w:pPr>
        <w:ind w:left="1532" w:hanging="567"/>
      </w:pPr>
      <w:rPr>
        <w:rFonts w:ascii="Calibri" w:eastAsia="Calibri" w:hAnsi="Calibri" w:cs="Calibri" w:hint="default"/>
        <w:b w:val="0"/>
        <w:bCs w:val="0"/>
        <w:i w:val="0"/>
        <w:iCs w:val="0"/>
        <w:spacing w:val="0"/>
        <w:w w:val="92"/>
        <w:sz w:val="24"/>
        <w:szCs w:val="24"/>
        <w:lang w:val="en-US" w:eastAsia="en-US" w:bidi="ar-SA"/>
      </w:rPr>
    </w:lvl>
    <w:lvl w:ilvl="3" w:tplc="A7CE22DC">
      <w:numFmt w:val="bullet"/>
      <w:lvlText w:val="•"/>
      <w:lvlJc w:val="left"/>
      <w:pPr>
        <w:ind w:left="2515" w:hanging="567"/>
      </w:pPr>
      <w:rPr>
        <w:rFonts w:hint="default"/>
        <w:lang w:val="en-US" w:eastAsia="en-US" w:bidi="ar-SA"/>
      </w:rPr>
    </w:lvl>
    <w:lvl w:ilvl="4" w:tplc="B9E40446">
      <w:numFmt w:val="bullet"/>
      <w:lvlText w:val="•"/>
      <w:lvlJc w:val="left"/>
      <w:pPr>
        <w:ind w:left="3491" w:hanging="567"/>
      </w:pPr>
      <w:rPr>
        <w:rFonts w:hint="default"/>
        <w:lang w:val="en-US" w:eastAsia="en-US" w:bidi="ar-SA"/>
      </w:rPr>
    </w:lvl>
    <w:lvl w:ilvl="5" w:tplc="38FC78F4">
      <w:numFmt w:val="bullet"/>
      <w:lvlText w:val="•"/>
      <w:lvlJc w:val="left"/>
      <w:pPr>
        <w:ind w:left="4467" w:hanging="567"/>
      </w:pPr>
      <w:rPr>
        <w:rFonts w:hint="default"/>
        <w:lang w:val="en-US" w:eastAsia="en-US" w:bidi="ar-SA"/>
      </w:rPr>
    </w:lvl>
    <w:lvl w:ilvl="6" w:tplc="96C0C384">
      <w:numFmt w:val="bullet"/>
      <w:lvlText w:val="•"/>
      <w:lvlJc w:val="left"/>
      <w:pPr>
        <w:ind w:left="5443" w:hanging="567"/>
      </w:pPr>
      <w:rPr>
        <w:rFonts w:hint="default"/>
        <w:lang w:val="en-US" w:eastAsia="en-US" w:bidi="ar-SA"/>
      </w:rPr>
    </w:lvl>
    <w:lvl w:ilvl="7" w:tplc="4B9AA896">
      <w:numFmt w:val="bullet"/>
      <w:lvlText w:val="•"/>
      <w:lvlJc w:val="left"/>
      <w:pPr>
        <w:ind w:left="6419" w:hanging="567"/>
      </w:pPr>
      <w:rPr>
        <w:rFonts w:hint="default"/>
        <w:lang w:val="en-US" w:eastAsia="en-US" w:bidi="ar-SA"/>
      </w:rPr>
    </w:lvl>
    <w:lvl w:ilvl="8" w:tplc="373425EC">
      <w:numFmt w:val="bullet"/>
      <w:lvlText w:val="•"/>
      <w:lvlJc w:val="left"/>
      <w:pPr>
        <w:ind w:left="7394" w:hanging="567"/>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9E"/>
    <w:rsid w:val="00387D18"/>
    <w:rsid w:val="00746F9E"/>
    <w:rsid w:val="008372B3"/>
    <w:rsid w:val="00A32889"/>
    <w:rsid w:val="00E8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DCC-8613-413E-8EE0-F2DFCAD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824" w:hanging="708"/>
      <w:jc w:val="both"/>
    </w:pPr>
  </w:style>
  <w:style w:type="paragraph" w:customStyle="1" w:styleId="TableParagraph">
    <w:name w:val="Table Paragraph"/>
    <w:basedOn w:val="Normal"/>
    <w:uiPriority w:val="1"/>
    <w:qFormat/>
    <w:pPr>
      <w:spacing w:before="2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1851</Words>
  <Characters>11106</Characters>
  <Application>Microsoft Office Word</Application>
  <DocSecurity>0</DocSecurity>
  <Lines>653</Lines>
  <Paragraphs>275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Maximilien</dc:creator>
  <cp:keywords>, docId:B8993486303B2282AAA38BC5FABBAA83</cp:keywords>
  <cp:lastModifiedBy>DUFOUR Maximilien</cp:lastModifiedBy>
  <cp:revision>3</cp:revision>
  <dcterms:created xsi:type="dcterms:W3CDTF">2023-11-29T11:23:00Z</dcterms:created>
  <dcterms:modified xsi:type="dcterms:W3CDTF">2023-11-29T11:33:00Z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PDF CoDe 5.2310.744.0 (c) 2002-2023 European Commission</vt:lpwstr>
  </property>
  <property fmtid="{D5CDD505-2E9C-101B-9397-08002B2CF9AE}" pid="4" name="LastSaved">
    <vt:filetime>2023-11-29T00:00:00Z</vt:filetime>
  </property>
  <property fmtid="{D5CDD505-2E9C-101B-9397-08002B2CF9AE}" pid="5" name="Producer">
    <vt:lpwstr>PDF CoDe 5.2310.744.0 (c) 2002-2023 European Commission</vt:lpwstr>
  </property>
</Properties>
</file>